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3503"/>
        <w:gridCol w:w="1742"/>
        <w:gridCol w:w="3029"/>
        <w:gridCol w:w="2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312" w:type="dxa"/>
            <w:gridSpan w:val="6"/>
            <w:vAlign w:val="center"/>
          </w:tcPr>
          <w:p>
            <w:pPr>
              <w:spacing w:after="0" w:line="220" w:lineRule="atLeast"/>
              <w:jc w:val="left"/>
              <w:rPr>
                <w:rFonts w:hint="default" w:ascii="方正仿宋简体" w:eastAsia="方正仿宋简体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附件10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312" w:type="dxa"/>
            <w:gridSpan w:val="6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  <w:lang w:eastAsia="zh-CN"/>
              </w:rPr>
              <w:t>《河北省农业行政处罚自由裁量权》基准制度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59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序号</w:t>
            </w:r>
          </w:p>
        </w:tc>
        <w:tc>
          <w:tcPr>
            <w:tcW w:w="2693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违法种类</w:t>
            </w:r>
          </w:p>
        </w:tc>
        <w:tc>
          <w:tcPr>
            <w:tcW w:w="3503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法律依据</w:t>
            </w:r>
          </w:p>
        </w:tc>
        <w:tc>
          <w:tcPr>
            <w:tcW w:w="1742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违法严重程度分解</w:t>
            </w:r>
          </w:p>
        </w:tc>
        <w:tc>
          <w:tcPr>
            <w:tcW w:w="3029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情形</w:t>
            </w:r>
          </w:p>
        </w:tc>
        <w:tc>
          <w:tcPr>
            <w:tcW w:w="238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方正仿宋简体" w:eastAsia="方正仿宋简体"/>
                <w:sz w:val="32"/>
                <w:szCs w:val="32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处罚幅度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对未取得动物防疫条件合格证，兴办动物饲养场（养殖小区）和隔离场所，动物屠宰加工场所，以及动物和动物产品无害化处理场所的处罚</w:t>
            </w:r>
          </w:p>
        </w:tc>
        <w:tc>
          <w:tcPr>
            <w:tcW w:w="3503" w:type="dxa"/>
            <w:vMerge w:val="restart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《中华人民共和国动物防疫法》第七十七条：违反本法规定，有下列行为之一的，由动物卫生监督机构责令改正，处一千元以上一万元以下罚款；情节严重的，处一万元以上十万元以下罚款：(一)兴办动物饲养场（养殖小区）和隔离场所，动物屠宰加工场所，以及动物和动物产品无害化处理场所，未取得动物防疫条件合格证的；…….</w:t>
            </w:r>
          </w:p>
        </w:tc>
        <w:tc>
          <w:tcPr>
            <w:tcW w:w="174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轻微</w:t>
            </w:r>
          </w:p>
        </w:tc>
        <w:tc>
          <w:tcPr>
            <w:tcW w:w="3029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兴办动物饲养场（养殖小区）和隔离场所，动物屠宰加工场所，以及动物和动物产品无害化处理场所，未取得动物防疫条件合格证的，经检查督促，即刻改正的</w:t>
            </w:r>
          </w:p>
        </w:tc>
        <w:tc>
          <w:tcPr>
            <w:tcW w:w="2386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责令改正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3503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一般</w:t>
            </w:r>
          </w:p>
        </w:tc>
        <w:tc>
          <w:tcPr>
            <w:tcW w:w="3029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动物防疫条件经验收不合格的</w:t>
            </w:r>
          </w:p>
        </w:tc>
        <w:tc>
          <w:tcPr>
            <w:tcW w:w="2386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责令改正，处一千元以上一万元以下罚款。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3503" w:type="dxa"/>
            <w:vMerge w:val="continue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</w:p>
        </w:tc>
        <w:tc>
          <w:tcPr>
            <w:tcW w:w="174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严重</w:t>
            </w:r>
          </w:p>
        </w:tc>
        <w:tc>
          <w:tcPr>
            <w:tcW w:w="3029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兴办动物饲养场（养殖小区）和隔离场所，动物屠宰加工场所，以及动物和动物产品无害化处理场所，未取得动物防疫条件合格证的，拒不改正的</w:t>
            </w:r>
          </w:p>
        </w:tc>
        <w:tc>
          <w:tcPr>
            <w:tcW w:w="2386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方正仿宋简体" w:eastAsia="方正仿宋简体"/>
                <w:sz w:val="21"/>
                <w:szCs w:val="21"/>
              </w:rPr>
            </w:pPr>
            <w:r>
              <w:rPr>
                <w:rFonts w:hint="eastAsia" w:ascii="方正仿宋简体" w:eastAsia="方正仿宋简体"/>
                <w:sz w:val="21"/>
                <w:szCs w:val="21"/>
              </w:rPr>
              <w:t>处一万元以上十万元以下罚款。</w:t>
            </w:r>
          </w:p>
        </w:tc>
      </w:tr>
    </w:tbl>
    <w:p>
      <w:pPr>
        <w:spacing w:line="220" w:lineRule="atLeas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7F2E0B"/>
    <w:rsid w:val="008B7726"/>
    <w:rsid w:val="009E642E"/>
    <w:rsid w:val="00A40F9B"/>
    <w:rsid w:val="00B55F7D"/>
    <w:rsid w:val="00D31D50"/>
    <w:rsid w:val="00E14F08"/>
    <w:rsid w:val="00FD2C77"/>
    <w:rsid w:val="00FD32B1"/>
    <w:rsid w:val="152510F3"/>
    <w:rsid w:val="352C2804"/>
    <w:rsid w:val="6F60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387</Characters>
  <Lines>3</Lines>
  <Paragraphs>1</Paragraphs>
  <TotalTime>31</TotalTime>
  <ScaleCrop>false</ScaleCrop>
  <LinksUpToDate>false</LinksUpToDate>
  <CharactersWithSpaces>453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2020-10-26T05:52:04Z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