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sz w:val="32"/>
          <w:szCs w:val="32"/>
        </w:rPr>
      </w:pPr>
      <w:r>
        <w:rPr>
          <w:rFonts w:hint="eastAsia" w:ascii="黑体" w:hAnsi="黑体" w:eastAsia="黑体" w:cs="黑体"/>
          <w:sz w:val="32"/>
          <w:szCs w:val="32"/>
        </w:rPr>
        <w:t>附件1</w:t>
      </w:r>
    </w:p>
    <w:p>
      <w:pPr>
        <w:jc w:val="center"/>
        <w:rPr>
          <w:rFonts w:ascii="方正小标宋简体" w:hAnsi="方正小标宋简体" w:eastAsia="方正小标宋简体" w:cs="方正小标宋简体"/>
          <w:sz w:val="40"/>
          <w:szCs w:val="40"/>
        </w:rPr>
      </w:pPr>
    </w:p>
    <w:p>
      <w:pPr>
        <w:jc w:val="center"/>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lang w:eastAsia="zh-CN"/>
        </w:rPr>
        <w:t>河北唐山芦台经济开发区发展和改革局</w:t>
      </w:r>
    </w:p>
    <w:p>
      <w:pPr>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202</w:t>
      </w:r>
      <w:r>
        <w:rPr>
          <w:rFonts w:hint="eastAsia" w:ascii="方正小标宋简体" w:hAnsi="方正小标宋简体" w:eastAsia="方正小标宋简体" w:cs="方正小标宋简体"/>
          <w:sz w:val="40"/>
          <w:szCs w:val="40"/>
          <w:lang w:val="en-US" w:eastAsia="zh-CN"/>
        </w:rPr>
        <w:t>3</w:t>
      </w:r>
      <w:r>
        <w:rPr>
          <w:rFonts w:hint="eastAsia" w:ascii="方正小标宋简体" w:hAnsi="方正小标宋简体" w:eastAsia="方正小标宋简体" w:cs="方正小标宋简体"/>
          <w:sz w:val="40"/>
          <w:szCs w:val="40"/>
        </w:rPr>
        <w:t>年度项目支出绩效自评报告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sz w:val="32"/>
          <w:szCs w:val="32"/>
          <w:lang w:eastAsia="zh-CN"/>
        </w:rPr>
      </w:pPr>
    </w:p>
    <w:p>
      <w:pPr>
        <w:numPr>
          <w:ilvl w:val="0"/>
          <w:numId w:val="1"/>
        </w:numPr>
        <w:ind w:firstLine="640" w:firstLineChars="200"/>
        <w:rPr>
          <w:rFonts w:hint="eastAsia" w:ascii="黑体" w:hAnsi="黑体" w:eastAsia="黑体" w:cs="黑体"/>
          <w:sz w:val="32"/>
          <w:szCs w:val="32"/>
        </w:rPr>
      </w:pPr>
      <w:r>
        <w:rPr>
          <w:rFonts w:hint="eastAsia" w:ascii="黑体" w:hAnsi="黑体" w:eastAsia="黑体" w:cs="黑体"/>
          <w:sz w:val="32"/>
          <w:szCs w:val="32"/>
        </w:rPr>
        <w:t>基本情况</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第五次全国普查经费</w:t>
      </w:r>
      <w:r>
        <w:rPr>
          <w:rFonts w:hint="eastAsia" w:ascii="黑体" w:hAnsi="黑体" w:eastAsia="黑体" w:cs="黑体"/>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第五次全国经济普查是一项重大国情国力调查，主要目的是全面调查中国第二产业和第三产业发展规模、布局和效益，摸清各类单位基本情况，掌握国民经济行业间经济联系，客观反映推动高质量发展、构建新发展格局、建设现代化经济体系、深化供给侧结构性改革以及创新驱动发展、区域协调发展、生态文明建设、高水平对外开放、公共服务体系建设等方面的新进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2023年该项目年初预算资金10万元，结合工作实际，于10月做出预算调减，预算调整数为8万元，预算支出7.43万元，用于普查员补贴和普查办公经费。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2023年本单位组建了芦台经济开发区第五次全国经济普查筹备领导小组及办公室，清查登记单位944家，个体经营户1887个，清查结果顺利通过上级验收。</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国家、省自行车电动车行业协会专项经费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芦台经济开发区是中国自行车行业协会理事单位，河北省自行车、电动车行业协会副会长单位，按照协会章程，每年需要缴纳协会会费。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val="en-US" w:eastAsia="zh-CN"/>
        </w:rPr>
      </w:pPr>
      <w:r>
        <w:rPr>
          <w:rFonts w:hint="eastAsia" w:ascii="方正仿宋简体" w:hAnsi="方正仿宋简体" w:eastAsia="方正仿宋简体" w:cs="方正仿宋简体"/>
          <w:sz w:val="32"/>
          <w:szCs w:val="32"/>
          <w:lang w:val="en-US" w:eastAsia="zh-CN"/>
        </w:rPr>
        <w:t>2023年该项目年初预算资金0.6万元，其中0.4万元为协会会费，0.2万元为参加协会会议差旅费。2023年6月完成自行车行业协会会费缴纳，2023年12月完成省自行车电动车行业协会会费缴纳，0.2万元差旅费未完成支付。</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640" w:firstLineChars="200"/>
        <w:textAlignment w:val="auto"/>
        <w:rPr>
          <w:rFonts w:hint="default" w:ascii="黑体" w:hAnsi="黑体" w:eastAsia="黑体" w:cs="黑体"/>
          <w:sz w:val="32"/>
          <w:szCs w:val="32"/>
          <w:highlight w:val="none"/>
          <w:lang w:val="en-US" w:eastAsia="zh-CN"/>
        </w:rPr>
      </w:pPr>
      <w:r>
        <w:rPr>
          <w:rFonts w:hint="default" w:ascii="黑体" w:hAnsi="黑体" w:eastAsia="黑体" w:cs="黑体"/>
          <w:sz w:val="32"/>
          <w:szCs w:val="32"/>
          <w:highlight w:val="none"/>
          <w:lang w:val="en-US" w:eastAsia="zh-CN"/>
        </w:rPr>
        <w:t>2023-20</w:t>
      </w:r>
      <w:bookmarkStart w:id="0" w:name="_GoBack"/>
      <w:bookmarkEnd w:id="0"/>
      <w:r>
        <w:rPr>
          <w:rFonts w:hint="default" w:ascii="黑体" w:hAnsi="黑体" w:eastAsia="黑体" w:cs="黑体"/>
          <w:sz w:val="32"/>
          <w:szCs w:val="32"/>
          <w:highlight w:val="none"/>
          <w:lang w:val="en-US" w:eastAsia="zh-CN"/>
        </w:rPr>
        <w:t>24年度采暖季洁净煤补贴资金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根据煤炭价格、地方财力和群众承受能力等情况，对我区未落实“双代”等清洁取暖方式的取暖户购买使用洁净煤给予财政补贴。使用洁净煤取暖户数及用量按照省财政厅下达补助资金时省农业农村厅提供的数据，补贴标准以上级和区级补贴政策执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2023年该项目年初预算45.44万元，预算调整数34.50万元，预算执行34.35万元。完成洁净煤保供119户、229吨，有效改善了区域生态环境建设。</w:t>
      </w:r>
    </w:p>
    <w:p>
      <w:pPr>
        <w:numPr>
          <w:ilvl w:val="0"/>
          <w:numId w:val="1"/>
        </w:numPr>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绩效自评工作情况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根据上级部门的工作部署和要求，运用科学、规范的绩效评价方法，客观、公正地对2023年第五次全国经济普查经费、2023年度国家、省自行车行业协会专项资金、</w:t>
      </w:r>
      <w:r>
        <w:rPr>
          <w:rFonts w:hint="default" w:ascii="方正仿宋简体" w:hAnsi="方正仿宋简体" w:eastAsia="方正仿宋简体" w:cs="方正仿宋简体"/>
          <w:sz w:val="32"/>
          <w:szCs w:val="32"/>
          <w:lang w:val="en-US" w:eastAsia="zh-CN"/>
        </w:rPr>
        <w:t>2023-2024年度采暖季洁净煤补贴资金</w:t>
      </w:r>
      <w:r>
        <w:rPr>
          <w:rFonts w:hint="eastAsia" w:ascii="方正仿宋简体" w:hAnsi="方正仿宋简体" w:eastAsia="方正仿宋简体" w:cs="方正仿宋简体"/>
          <w:sz w:val="32"/>
          <w:szCs w:val="32"/>
          <w:lang w:val="en-US" w:eastAsia="zh-CN"/>
        </w:rPr>
        <w:t>支出进行评价，以反映项目资金的绩效，通过绩效评价，树立绩效管理理念，做好预算绩效管理，提高财政资金效益。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前期准备:下发通知，单位自评。绩效评价小组开展调查研究、分析讨论并形成绩效评价工作方案，为后期的数据获取做了充分的准备。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组织实施:通过座谈、到实地核查等方式了解项目实施情况，整理项目相关资料，设计绩效评价指标体系。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分析评价:整理分析获取的基础数据等资料，依据制定的评价标准进行评价指标打分，根据结果提出建议并完成绩效评价报告。</w:t>
      </w:r>
    </w:p>
    <w:p>
      <w:pPr>
        <w:numPr>
          <w:ilvl w:val="0"/>
          <w:numId w:val="3"/>
        </w:numPr>
        <w:ind w:firstLine="640" w:firstLineChars="200"/>
        <w:rPr>
          <w:rFonts w:hint="eastAsia" w:ascii="黑体" w:hAnsi="黑体" w:eastAsia="黑体" w:cs="黑体"/>
          <w:sz w:val="32"/>
          <w:szCs w:val="32"/>
        </w:rPr>
      </w:pPr>
      <w:r>
        <w:rPr>
          <w:rFonts w:hint="eastAsia" w:ascii="黑体" w:hAnsi="黑体" w:eastAsia="黑体" w:cs="黑体"/>
          <w:sz w:val="32"/>
          <w:szCs w:val="32"/>
        </w:rPr>
        <w:t>绩效自评分析</w:t>
      </w:r>
    </w:p>
    <w:p>
      <w:pPr>
        <w:keepNext w:val="0"/>
        <w:keepLines w:val="0"/>
        <w:pageBreakBefore w:val="0"/>
        <w:widowControl w:val="0"/>
        <w:numPr>
          <w:ilvl w:val="0"/>
          <w:numId w:val="4"/>
        </w:numPr>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第五次全国普查经费，共设7个绩效指标，完成6个，未完成或部分完成1个，预算执行率92.88%，自评得分97.5分，自评等级为“优”。</w:t>
      </w:r>
    </w:p>
    <w:p>
      <w:pPr>
        <w:keepNext w:val="0"/>
        <w:keepLines w:val="0"/>
        <w:pageBreakBefore w:val="0"/>
        <w:widowControl w:val="0"/>
        <w:numPr>
          <w:ilvl w:val="0"/>
          <w:numId w:val="4"/>
        </w:numPr>
        <w:kinsoku/>
        <w:wordWrap/>
        <w:overflowPunct/>
        <w:topLinePunct w:val="0"/>
        <w:autoSpaceDE/>
        <w:autoSpaceDN/>
        <w:bidi w:val="0"/>
        <w:adjustRightInd/>
        <w:snapToGrid/>
        <w:ind w:firstLine="640" w:firstLineChars="200"/>
        <w:textAlignment w:val="auto"/>
        <w:rPr>
          <w:rFonts w:hint="default" w:ascii="方正仿宋简体" w:hAnsi="方正仿宋简体" w:eastAsia="方正仿宋简体" w:cs="方正仿宋简体"/>
          <w:sz w:val="32"/>
          <w:szCs w:val="32"/>
          <w:highlight w:val="none"/>
          <w:lang w:val="en-US" w:eastAsia="zh-CN"/>
        </w:rPr>
      </w:pPr>
      <w:r>
        <w:rPr>
          <w:rFonts w:hint="default" w:ascii="方正仿宋简体" w:hAnsi="方正仿宋简体" w:eastAsia="方正仿宋简体" w:cs="方正仿宋简体"/>
          <w:sz w:val="32"/>
          <w:szCs w:val="32"/>
          <w:highlight w:val="none"/>
          <w:lang w:val="en-US" w:eastAsia="zh-CN"/>
        </w:rPr>
        <w:t>国家、省自行车电动车行业协会专项经费</w:t>
      </w:r>
      <w:r>
        <w:rPr>
          <w:rFonts w:hint="eastAsia" w:ascii="方正仿宋简体" w:hAnsi="方正仿宋简体" w:eastAsia="方正仿宋简体" w:cs="方正仿宋简体"/>
          <w:sz w:val="32"/>
          <w:szCs w:val="32"/>
          <w:highlight w:val="none"/>
          <w:lang w:val="en-US" w:eastAsia="zh-CN"/>
        </w:rPr>
        <w:t>，共设7个绩效指标，完成6个，未完成或部分完成1个，预算执行率66.67%，自评得分93分，自评等级为“优”。</w:t>
      </w:r>
    </w:p>
    <w:p>
      <w:pPr>
        <w:keepNext w:val="0"/>
        <w:keepLines w:val="0"/>
        <w:pageBreakBefore w:val="0"/>
        <w:widowControl w:val="0"/>
        <w:numPr>
          <w:ilvl w:val="0"/>
          <w:numId w:val="4"/>
        </w:numPr>
        <w:kinsoku/>
        <w:wordWrap/>
        <w:overflowPunct/>
        <w:topLinePunct w:val="0"/>
        <w:autoSpaceDE/>
        <w:autoSpaceDN/>
        <w:bidi w:val="0"/>
        <w:adjustRightInd/>
        <w:snapToGrid/>
        <w:ind w:firstLine="640" w:firstLineChars="200"/>
        <w:textAlignment w:val="auto"/>
        <w:rPr>
          <w:rFonts w:hint="default" w:ascii="方正仿宋简体" w:hAnsi="方正仿宋简体" w:eastAsia="方正仿宋简体" w:cs="方正仿宋简体"/>
          <w:sz w:val="32"/>
          <w:szCs w:val="32"/>
          <w:highlight w:val="none"/>
          <w:lang w:val="en-US" w:eastAsia="zh-CN"/>
        </w:rPr>
      </w:pPr>
      <w:r>
        <w:rPr>
          <w:rFonts w:hint="default" w:ascii="方正仿宋简体" w:hAnsi="方正仿宋简体" w:eastAsia="方正仿宋简体" w:cs="方正仿宋简体"/>
          <w:sz w:val="32"/>
          <w:szCs w:val="32"/>
          <w:highlight w:val="none"/>
          <w:lang w:val="en-US" w:eastAsia="zh-CN"/>
        </w:rPr>
        <w:t>2023-2024年度采暖季洁净煤补贴资金</w:t>
      </w:r>
      <w:r>
        <w:rPr>
          <w:rFonts w:hint="eastAsia" w:ascii="方正仿宋简体" w:hAnsi="方正仿宋简体" w:eastAsia="方正仿宋简体" w:cs="方正仿宋简体"/>
          <w:sz w:val="32"/>
          <w:szCs w:val="32"/>
          <w:highlight w:val="none"/>
          <w:lang w:val="en-US" w:eastAsia="zh-CN"/>
        </w:rPr>
        <w:t>，共设7个绩效指标，完成5个，未完成或部分完成2个，预算执行率99.57%，自自评得分96分，评等级为“优”。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具体项目统计表如下：</w:t>
      </w:r>
    </w:p>
    <w:tbl>
      <w:tblPr>
        <w:tblStyle w:val="4"/>
        <w:tblpPr w:leftFromText="180" w:rightFromText="180" w:vertAnchor="text" w:horzAnchor="page" w:tblpX="1910" w:tblpY="564"/>
        <w:tblOverlap w:val="never"/>
        <w:tblW w:w="0" w:type="auto"/>
        <w:tblInd w:w="0" w:type="dxa"/>
        <w:tblLayout w:type="autofit"/>
        <w:tblCellMar>
          <w:top w:w="0" w:type="dxa"/>
          <w:left w:w="108" w:type="dxa"/>
          <w:bottom w:w="0" w:type="dxa"/>
          <w:right w:w="108" w:type="dxa"/>
        </w:tblCellMar>
      </w:tblPr>
      <w:tblGrid>
        <w:gridCol w:w="542"/>
        <w:gridCol w:w="3901"/>
        <w:gridCol w:w="1222"/>
        <w:gridCol w:w="1436"/>
        <w:gridCol w:w="1090"/>
        <w:gridCol w:w="870"/>
      </w:tblGrid>
      <w:tr>
        <w:tblPrEx>
          <w:tblCellMar>
            <w:top w:w="0" w:type="dxa"/>
            <w:left w:w="108" w:type="dxa"/>
            <w:bottom w:w="0" w:type="dxa"/>
            <w:right w:w="108" w:type="dxa"/>
          </w:tblCellMar>
        </w:tblPrEx>
        <w:trPr>
          <w:trHeight w:val="113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lang w:eastAsia="zh-CN"/>
              </w:rPr>
            </w:pPr>
            <w:r>
              <w:rPr>
                <w:rFonts w:hint="eastAsia" w:ascii="宋体" w:hAnsi="宋体" w:eastAsia="宋体" w:cs="宋体"/>
                <w:color w:val="000000"/>
                <w:kern w:val="0"/>
                <w:sz w:val="22"/>
                <w:lang w:eastAsia="zh-CN"/>
              </w:rPr>
              <w:t>序号</w:t>
            </w:r>
          </w:p>
        </w:tc>
        <w:tc>
          <w:tcPr>
            <w:tcW w:w="39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项目名称</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lang w:eastAsia="zh-CN"/>
              </w:rPr>
              <w:t>预算数</w:t>
            </w:r>
            <w:r>
              <w:rPr>
                <w:rFonts w:hint="eastAsia" w:ascii="宋体" w:hAnsi="宋体" w:eastAsia="宋体" w:cs="宋体"/>
                <w:color w:val="000000"/>
                <w:kern w:val="0"/>
                <w:sz w:val="22"/>
              </w:rPr>
              <w:t>（万元）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预算执行数（万元）</w:t>
            </w:r>
          </w:p>
        </w:tc>
        <w:tc>
          <w:tcPr>
            <w:tcW w:w="0" w:type="auto"/>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lang w:val="en-US" w:eastAsia="zh-CN"/>
              </w:rPr>
              <w:t>预算执行率</w:t>
            </w:r>
          </w:p>
        </w:tc>
        <w:tc>
          <w:tcPr>
            <w:tcW w:w="0" w:type="auto"/>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自评得分</w:t>
            </w:r>
          </w:p>
        </w:tc>
      </w:tr>
      <w:tr>
        <w:tblPrEx>
          <w:tblCellMar>
            <w:top w:w="0" w:type="dxa"/>
            <w:left w:w="108" w:type="dxa"/>
            <w:bottom w:w="0" w:type="dxa"/>
            <w:right w:w="108" w:type="dxa"/>
          </w:tblCellMar>
        </w:tblPrEx>
        <w:trPr>
          <w:trHeight w:val="495"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color w:val="000000"/>
                <w:kern w:val="0"/>
                <w:sz w:val="22"/>
                <w:lang w:eastAsia="zh-CN"/>
              </w:rPr>
            </w:pPr>
            <w:r>
              <w:rPr>
                <w:rFonts w:hint="eastAsia" w:ascii="宋体" w:hAnsi="宋体" w:eastAsia="宋体" w:cs="宋体"/>
                <w:color w:val="000000"/>
                <w:kern w:val="0"/>
                <w:sz w:val="22"/>
                <w:lang w:val="en-US" w:eastAsia="zh-CN"/>
              </w:rPr>
              <w:t>1</w:t>
            </w:r>
          </w:p>
        </w:tc>
        <w:tc>
          <w:tcPr>
            <w:tcW w:w="3901"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both"/>
              <w:rPr>
                <w:rFonts w:hint="eastAsia" w:ascii="宋体" w:hAnsi="宋体" w:eastAsia="宋体" w:cs="宋体"/>
                <w:sz w:val="22"/>
                <w:szCs w:val="22"/>
                <w:lang w:eastAsia="zh-CN"/>
              </w:rPr>
            </w:pPr>
            <w:r>
              <w:rPr>
                <w:rFonts w:hint="eastAsia" w:ascii="宋体" w:hAnsi="宋体" w:eastAsia="宋体" w:cs="宋体"/>
                <w:sz w:val="22"/>
                <w:szCs w:val="22"/>
              </w:rPr>
              <w:t>第五次全国经济普查</w:t>
            </w:r>
            <w:r>
              <w:rPr>
                <w:rFonts w:hint="eastAsia" w:ascii="宋体" w:hAnsi="宋体" w:eastAsia="宋体" w:cs="宋体"/>
                <w:sz w:val="22"/>
                <w:szCs w:val="22"/>
                <w:lang w:eastAsia="zh-CN"/>
              </w:rPr>
              <w:t>经费</w:t>
            </w:r>
          </w:p>
        </w:tc>
        <w:tc>
          <w:tcPr>
            <w:tcW w:w="122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7.43</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92.88%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97.5</w:t>
            </w:r>
          </w:p>
        </w:tc>
      </w:tr>
      <w:tr>
        <w:tblPrEx>
          <w:tblCellMar>
            <w:top w:w="0" w:type="dxa"/>
            <w:left w:w="108" w:type="dxa"/>
            <w:bottom w:w="0" w:type="dxa"/>
            <w:right w:w="108" w:type="dxa"/>
          </w:tblCellMar>
        </w:tblPrEx>
        <w:trPr>
          <w:trHeight w:val="495"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2</w:t>
            </w:r>
          </w:p>
        </w:tc>
        <w:tc>
          <w:tcPr>
            <w:tcW w:w="3901"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both"/>
              <w:rPr>
                <w:rFonts w:hint="eastAsia" w:ascii="宋体" w:hAnsi="宋体" w:eastAsia="宋体" w:cs="宋体"/>
                <w:sz w:val="22"/>
                <w:szCs w:val="22"/>
                <w:lang w:eastAsia="zh-CN"/>
              </w:rPr>
            </w:pPr>
            <w:r>
              <w:rPr>
                <w:rFonts w:hint="eastAsia" w:ascii="宋体" w:hAnsi="宋体" w:eastAsia="宋体" w:cs="宋体"/>
                <w:sz w:val="22"/>
                <w:szCs w:val="22"/>
              </w:rPr>
              <w:t>国家、省自行车行业协会</w:t>
            </w:r>
            <w:r>
              <w:rPr>
                <w:rFonts w:hint="eastAsia" w:ascii="宋体" w:hAnsi="宋体" w:eastAsia="宋体" w:cs="宋体"/>
                <w:sz w:val="22"/>
                <w:szCs w:val="22"/>
                <w:lang w:eastAsia="zh-CN"/>
              </w:rPr>
              <w:t>专项资金</w:t>
            </w:r>
          </w:p>
        </w:tc>
        <w:tc>
          <w:tcPr>
            <w:tcW w:w="122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eastAsia="宋体"/>
                <w:sz w:val="22"/>
                <w:szCs w:val="22"/>
                <w:highlight w:val="none"/>
                <w:lang w:val="en-US" w:eastAsia="zh-CN"/>
              </w:rPr>
            </w:pPr>
            <w:r>
              <w:rPr>
                <w:rFonts w:hint="eastAsia" w:eastAsia="宋体"/>
                <w:sz w:val="22"/>
                <w:szCs w:val="22"/>
                <w:highlight w:val="none"/>
                <w:lang w:val="en-US" w:eastAsia="zh-CN"/>
              </w:rPr>
              <w:t>0.6</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eastAsia="宋体"/>
                <w:sz w:val="22"/>
                <w:szCs w:val="22"/>
                <w:highlight w:val="none"/>
                <w:lang w:val="en-US" w:eastAsia="zh-CN"/>
              </w:rPr>
            </w:pPr>
            <w:r>
              <w:rPr>
                <w:rFonts w:hint="eastAsia" w:eastAsia="宋体"/>
                <w:sz w:val="22"/>
                <w:szCs w:val="22"/>
                <w:highlight w:val="none"/>
                <w:lang w:val="en-US" w:eastAsia="zh-CN"/>
              </w:rPr>
              <w:t>0.4</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eastAsia="宋体"/>
                <w:sz w:val="22"/>
                <w:szCs w:val="22"/>
                <w:highlight w:val="none"/>
                <w:lang w:val="en-US" w:eastAsia="zh-CN"/>
              </w:rPr>
            </w:pPr>
            <w:r>
              <w:rPr>
                <w:rFonts w:hint="eastAsia" w:eastAsia="宋体"/>
                <w:sz w:val="22"/>
                <w:szCs w:val="22"/>
                <w:highlight w:val="none"/>
                <w:lang w:val="en-US" w:eastAsia="zh-CN"/>
              </w:rPr>
              <w:t>66.67%</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eastAsia="宋体"/>
                <w:sz w:val="22"/>
                <w:szCs w:val="22"/>
                <w:lang w:val="en-US" w:eastAsia="zh-CN"/>
              </w:rPr>
            </w:pPr>
            <w:r>
              <w:rPr>
                <w:rFonts w:hint="eastAsia" w:eastAsia="宋体"/>
                <w:sz w:val="22"/>
                <w:szCs w:val="22"/>
                <w:lang w:val="en-US" w:eastAsia="zh-CN"/>
              </w:rPr>
              <w:t>93</w:t>
            </w:r>
          </w:p>
        </w:tc>
      </w:tr>
      <w:tr>
        <w:tblPrEx>
          <w:tblCellMar>
            <w:top w:w="0" w:type="dxa"/>
            <w:left w:w="108" w:type="dxa"/>
            <w:bottom w:w="0" w:type="dxa"/>
            <w:right w:w="108" w:type="dxa"/>
          </w:tblCellMar>
        </w:tblPrEx>
        <w:trPr>
          <w:trHeight w:val="495"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3</w:t>
            </w:r>
          </w:p>
        </w:tc>
        <w:tc>
          <w:tcPr>
            <w:tcW w:w="3901" w:type="dxa"/>
            <w:tcBorders>
              <w:top w:val="single" w:color="auto" w:sz="4" w:space="0"/>
              <w:left w:val="nil"/>
              <w:bottom w:val="single" w:color="auto" w:sz="4" w:space="0"/>
              <w:right w:val="single" w:color="auto" w:sz="4" w:space="0"/>
            </w:tcBorders>
            <w:shd w:val="clear" w:color="auto" w:fill="auto"/>
            <w:noWrap/>
            <w:vAlign w:val="center"/>
          </w:tcPr>
          <w:p>
            <w:pPr>
              <w:jc w:val="both"/>
              <w:rPr>
                <w:rFonts w:ascii="宋体" w:hAnsi="宋体" w:eastAsia="宋体" w:cs="宋体"/>
                <w:sz w:val="22"/>
                <w:szCs w:val="22"/>
              </w:rPr>
            </w:pPr>
            <w:r>
              <w:rPr>
                <w:rFonts w:hint="eastAsia" w:ascii="宋体" w:hAnsi="宋体" w:eastAsia="宋体" w:cs="宋体"/>
                <w:sz w:val="22"/>
                <w:szCs w:val="22"/>
              </w:rPr>
              <w:t>2023-2024年度采暖季洁净煤补贴资金</w:t>
            </w:r>
          </w:p>
        </w:tc>
        <w:tc>
          <w:tcPr>
            <w:tcW w:w="1222" w:type="dxa"/>
            <w:tcBorders>
              <w:top w:val="single" w:color="auto" w:sz="4" w:space="0"/>
              <w:left w:val="nil"/>
              <w:bottom w:val="single" w:color="auto" w:sz="4" w:space="0"/>
              <w:right w:val="single" w:color="auto" w:sz="4" w:space="0"/>
            </w:tcBorders>
            <w:shd w:val="clear" w:color="auto" w:fill="auto"/>
            <w:noWrap/>
            <w:vAlign w:val="center"/>
          </w:tcPr>
          <w:p>
            <w:pPr>
              <w:jc w:val="center"/>
              <w:rPr>
                <w:rFonts w:hint="default" w:eastAsia="宋体"/>
                <w:sz w:val="22"/>
                <w:szCs w:val="22"/>
                <w:highlight w:val="yellow"/>
                <w:lang w:val="en-US" w:eastAsia="zh-CN"/>
              </w:rPr>
            </w:pPr>
            <w:r>
              <w:rPr>
                <w:rFonts w:hint="eastAsia" w:eastAsia="宋体"/>
                <w:sz w:val="22"/>
                <w:szCs w:val="22"/>
                <w:highlight w:val="none"/>
                <w:lang w:val="en-US" w:eastAsia="zh-CN"/>
              </w:rPr>
              <w:t>34.5</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default" w:eastAsia="宋体"/>
                <w:sz w:val="22"/>
                <w:szCs w:val="22"/>
                <w:highlight w:val="yellow"/>
                <w:lang w:val="en-US" w:eastAsia="zh-CN"/>
              </w:rPr>
            </w:pPr>
            <w:r>
              <w:rPr>
                <w:rFonts w:hint="eastAsia" w:eastAsia="宋体"/>
                <w:sz w:val="22"/>
                <w:szCs w:val="22"/>
                <w:highlight w:val="none"/>
                <w:lang w:val="en-US" w:eastAsia="zh-CN"/>
              </w:rPr>
              <w:t>34.35</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default" w:eastAsia="宋体"/>
                <w:sz w:val="22"/>
                <w:szCs w:val="22"/>
                <w:highlight w:val="yellow"/>
                <w:lang w:val="en-US" w:eastAsia="zh-CN"/>
              </w:rPr>
            </w:pPr>
            <w:r>
              <w:rPr>
                <w:rFonts w:hint="eastAsia" w:eastAsia="宋体"/>
                <w:sz w:val="22"/>
                <w:szCs w:val="22"/>
                <w:highlight w:val="none"/>
                <w:lang w:val="en-US" w:eastAsia="zh-CN"/>
              </w:rPr>
              <w:t>99.57%</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default" w:eastAsia="宋体"/>
                <w:sz w:val="22"/>
                <w:szCs w:val="22"/>
                <w:lang w:val="en-US" w:eastAsia="zh-CN"/>
              </w:rPr>
            </w:pPr>
            <w:r>
              <w:rPr>
                <w:rFonts w:hint="eastAsia" w:eastAsia="宋体"/>
                <w:sz w:val="22"/>
                <w:szCs w:val="22"/>
                <w:lang w:val="en-US" w:eastAsia="zh-CN"/>
              </w:rPr>
              <w:t>96</w:t>
            </w:r>
          </w:p>
        </w:tc>
      </w:tr>
    </w:tbl>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sz w:val="32"/>
          <w:szCs w:val="32"/>
          <w:lang w:val="en-US" w:eastAsia="zh-CN"/>
        </w:rPr>
      </w:pPr>
    </w:p>
    <w:p>
      <w:pPr>
        <w:numPr>
          <w:ilvl w:val="0"/>
          <w:numId w:val="3"/>
        </w:numPr>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主要经验及做法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color w:val="auto"/>
          <w:sz w:val="32"/>
          <w:szCs w:val="32"/>
          <w:highlight w:val="none"/>
          <w:lang w:eastAsia="zh-CN"/>
        </w:rPr>
      </w:pPr>
      <w:r>
        <w:rPr>
          <w:rFonts w:hint="eastAsia" w:ascii="方正仿宋简体" w:hAnsi="方正仿宋简体" w:eastAsia="方正仿宋简体" w:cs="方正仿宋简体"/>
          <w:color w:val="auto"/>
          <w:sz w:val="32"/>
          <w:szCs w:val="32"/>
          <w:highlight w:val="none"/>
          <w:lang w:eastAsia="zh-CN"/>
        </w:rPr>
        <w:t>在绩效评价工作小组的领导下，形成了财审处牵头，具体项目实施科室为主体的预算编制、评价工作机制，预算编制、执行、监督、评价各工作环节均明确责任和完成时限，有效保证各项工件的顺利推进，对预算、决算编制、执行情况进行监督，对及时解决绩效中出现的问题、规范预决算编制和执行工作起到了积极作用。</w:t>
      </w:r>
    </w:p>
    <w:p>
      <w:pPr>
        <w:ind w:firstLine="640" w:firstLineChars="200"/>
        <w:rPr>
          <w:rFonts w:ascii="黑体" w:hAnsi="黑体" w:eastAsia="黑体" w:cs="黑体"/>
          <w:sz w:val="32"/>
          <w:szCs w:val="32"/>
        </w:rPr>
      </w:pPr>
      <w:r>
        <w:rPr>
          <w:rFonts w:hint="eastAsia" w:ascii="黑体" w:hAnsi="黑体" w:eastAsia="黑体" w:cs="黑体"/>
          <w:sz w:val="32"/>
          <w:szCs w:val="32"/>
        </w:rPr>
        <w:t>五、存在问题、原因分析及有关建议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color w:val="auto"/>
          <w:sz w:val="32"/>
          <w:szCs w:val="32"/>
          <w:highlight w:val="none"/>
          <w:lang w:eastAsia="zh-CN"/>
        </w:rPr>
      </w:pPr>
      <w:r>
        <w:rPr>
          <w:rFonts w:hint="eastAsia" w:ascii="方正仿宋简体" w:hAnsi="方正仿宋简体" w:eastAsia="方正仿宋简体" w:cs="方正仿宋简体"/>
          <w:color w:val="auto"/>
          <w:sz w:val="32"/>
          <w:szCs w:val="32"/>
          <w:highlight w:val="none"/>
          <w:lang w:eastAsia="zh-CN"/>
        </w:rPr>
        <w:t>部分项目由于不可抗拒原因，未完全按年初计划开展，资金支出进度缓慢，影响了工作任务和绩效指标的完成，拉低了绩效评价得分</w:t>
      </w:r>
      <w:r>
        <w:rPr>
          <w:rFonts w:hint="eastAsia" w:ascii="方正仿宋简体" w:hAnsi="方正仿宋简体" w:eastAsia="方正仿宋简体" w:cs="方正仿宋简体"/>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简体" w:hAnsi="方正仿宋简体" w:eastAsia="方正仿宋简体" w:cs="方正仿宋简体"/>
          <w:color w:val="auto"/>
          <w:sz w:val="32"/>
          <w:szCs w:val="32"/>
          <w:highlight w:val="none"/>
          <w:lang w:eastAsia="zh-CN"/>
        </w:rPr>
      </w:pPr>
      <w:r>
        <w:rPr>
          <w:rFonts w:hint="eastAsia" w:ascii="方正仿宋简体" w:hAnsi="方正仿宋简体" w:eastAsia="方正仿宋简体" w:cs="方正仿宋简体"/>
          <w:color w:val="auto"/>
          <w:sz w:val="32"/>
          <w:szCs w:val="32"/>
          <w:highlight w:val="none"/>
          <w:lang w:eastAsia="zh-CN"/>
        </w:rPr>
        <w:t>应进一步提高认识，加强预算管理，做好项目前期的调研决策工作；加强对专项资金项目监督、管理、评价、服务等工作，努力做到预算编制的准确性，保质保量完成各项任务。</w:t>
      </w:r>
    </w:p>
    <w:p>
      <w:pPr>
        <w:ind w:firstLine="640" w:firstLineChars="200"/>
        <w:rPr>
          <w:rFonts w:ascii="黑体" w:hAnsi="黑体" w:eastAsia="黑体" w:cs="黑体"/>
          <w:sz w:val="32"/>
          <w:szCs w:val="32"/>
        </w:rPr>
      </w:pPr>
      <w:r>
        <w:rPr>
          <w:rFonts w:hint="eastAsia" w:ascii="黑体" w:hAnsi="黑体" w:eastAsia="黑体" w:cs="黑体"/>
          <w:sz w:val="32"/>
          <w:szCs w:val="32"/>
        </w:rPr>
        <w:t>六、其他需要说明事项</w:t>
      </w:r>
    </w:p>
    <w:p>
      <w:pPr>
        <w:ind w:firstLine="640" w:firstLineChars="200"/>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无。</w:t>
      </w:r>
    </w:p>
    <w:p>
      <w:pPr>
        <w:rPr>
          <w:rFonts w:ascii="黑体" w:hAnsi="黑体" w:eastAsia="黑体" w:cs="黑体"/>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79DDC2"/>
    <w:multiLevelType w:val="singleLevel"/>
    <w:tmpl w:val="8279DDC2"/>
    <w:lvl w:ilvl="0" w:tentative="0">
      <w:start w:val="1"/>
      <w:numFmt w:val="decimal"/>
      <w:suff w:val="nothing"/>
      <w:lvlText w:val="%1、"/>
      <w:lvlJc w:val="left"/>
    </w:lvl>
  </w:abstractNum>
  <w:abstractNum w:abstractNumId="1">
    <w:nsid w:val="E5299C1C"/>
    <w:multiLevelType w:val="singleLevel"/>
    <w:tmpl w:val="E5299C1C"/>
    <w:lvl w:ilvl="0" w:tentative="0">
      <w:start w:val="1"/>
      <w:numFmt w:val="chineseCounting"/>
      <w:suff w:val="nothing"/>
      <w:lvlText w:val="%1、"/>
      <w:lvlJc w:val="left"/>
      <w:rPr>
        <w:rFonts w:hint="eastAsia"/>
      </w:rPr>
    </w:lvl>
  </w:abstractNum>
  <w:abstractNum w:abstractNumId="2">
    <w:nsid w:val="1CD87377"/>
    <w:multiLevelType w:val="singleLevel"/>
    <w:tmpl w:val="1CD87377"/>
    <w:lvl w:ilvl="0" w:tentative="0">
      <w:start w:val="1"/>
      <w:numFmt w:val="decimal"/>
      <w:suff w:val="nothing"/>
      <w:lvlText w:val="%1、"/>
      <w:lvlJc w:val="left"/>
    </w:lvl>
  </w:abstractNum>
  <w:abstractNum w:abstractNumId="3">
    <w:nsid w:val="23F66571"/>
    <w:multiLevelType w:val="singleLevel"/>
    <w:tmpl w:val="23F66571"/>
    <w:lvl w:ilvl="0" w:tentative="0">
      <w:start w:val="3"/>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kzY2NmM2EzNDUzNTc1Zjg5MWMxMjVlY2FhMWViNDcifQ=="/>
  </w:docVars>
  <w:rsids>
    <w:rsidRoot w:val="00A10BC2"/>
    <w:rsid w:val="0026153A"/>
    <w:rsid w:val="00952BBB"/>
    <w:rsid w:val="00A10BC2"/>
    <w:rsid w:val="014E4415"/>
    <w:rsid w:val="02D0730E"/>
    <w:rsid w:val="036D1000"/>
    <w:rsid w:val="0429323E"/>
    <w:rsid w:val="04BA0275"/>
    <w:rsid w:val="0687062B"/>
    <w:rsid w:val="08C33FDA"/>
    <w:rsid w:val="09AD03A9"/>
    <w:rsid w:val="0A3702F6"/>
    <w:rsid w:val="0B316DB7"/>
    <w:rsid w:val="0D0A07E4"/>
    <w:rsid w:val="0D6B3773"/>
    <w:rsid w:val="0E817EFF"/>
    <w:rsid w:val="102E1B18"/>
    <w:rsid w:val="12740CB0"/>
    <w:rsid w:val="1443168B"/>
    <w:rsid w:val="166B4467"/>
    <w:rsid w:val="17676502"/>
    <w:rsid w:val="188D7403"/>
    <w:rsid w:val="1EE461C3"/>
    <w:rsid w:val="20D10F8E"/>
    <w:rsid w:val="238D2197"/>
    <w:rsid w:val="258E0C37"/>
    <w:rsid w:val="25B85CB3"/>
    <w:rsid w:val="27457CE6"/>
    <w:rsid w:val="29D30045"/>
    <w:rsid w:val="2A0E53D4"/>
    <w:rsid w:val="2D77689A"/>
    <w:rsid w:val="31DC0F7C"/>
    <w:rsid w:val="323E037D"/>
    <w:rsid w:val="332930F1"/>
    <w:rsid w:val="333948D8"/>
    <w:rsid w:val="33B152EE"/>
    <w:rsid w:val="342D0766"/>
    <w:rsid w:val="361D4F44"/>
    <w:rsid w:val="39FE0713"/>
    <w:rsid w:val="3A2B4060"/>
    <w:rsid w:val="3B5032A4"/>
    <w:rsid w:val="3D2C2191"/>
    <w:rsid w:val="3FF12096"/>
    <w:rsid w:val="422B43D5"/>
    <w:rsid w:val="430F11B1"/>
    <w:rsid w:val="43FD0DE3"/>
    <w:rsid w:val="4602526F"/>
    <w:rsid w:val="4741557E"/>
    <w:rsid w:val="49057D7C"/>
    <w:rsid w:val="4A176B9D"/>
    <w:rsid w:val="50FA6FE8"/>
    <w:rsid w:val="53C102A5"/>
    <w:rsid w:val="54511C14"/>
    <w:rsid w:val="545E1003"/>
    <w:rsid w:val="55D1679A"/>
    <w:rsid w:val="579908AA"/>
    <w:rsid w:val="579D4B86"/>
    <w:rsid w:val="5895585D"/>
    <w:rsid w:val="5B450011"/>
    <w:rsid w:val="5B642E9F"/>
    <w:rsid w:val="5CF8460C"/>
    <w:rsid w:val="5FA56CCD"/>
    <w:rsid w:val="601C5968"/>
    <w:rsid w:val="60D777F7"/>
    <w:rsid w:val="618A5F01"/>
    <w:rsid w:val="627369F1"/>
    <w:rsid w:val="68880F3A"/>
    <w:rsid w:val="69E04A7A"/>
    <w:rsid w:val="6A15771E"/>
    <w:rsid w:val="6BA02A3F"/>
    <w:rsid w:val="6C8A3643"/>
    <w:rsid w:val="6D45389E"/>
    <w:rsid w:val="6F2D43A8"/>
    <w:rsid w:val="6F631DB9"/>
    <w:rsid w:val="76EA0A78"/>
    <w:rsid w:val="78A15DE0"/>
    <w:rsid w:val="78FB2499"/>
    <w:rsid w:val="7E0202AF"/>
    <w:rsid w:val="7E984E37"/>
    <w:rsid w:val="7F14132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0"/>
    <w:pPr>
      <w:tabs>
        <w:tab w:val="center" w:pos="4153"/>
        <w:tab w:val="right" w:pos="8306"/>
      </w:tabs>
      <w:snapToGrid w:val="0"/>
      <w:jc w:val="left"/>
    </w:pPr>
    <w:rPr>
      <w:sz w:val="18"/>
      <w:szCs w:val="18"/>
    </w:rPr>
  </w:style>
  <w:style w:type="paragraph" w:styleId="3">
    <w:name w:val="header"/>
    <w:basedOn w:val="1"/>
    <w:link w:val="6"/>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0"/>
    <w:rPr>
      <w:kern w:val="2"/>
      <w:sz w:val="18"/>
      <w:szCs w:val="18"/>
    </w:rPr>
  </w:style>
  <w:style w:type="character" w:customStyle="1" w:styleId="7">
    <w:name w:val="页脚 Char"/>
    <w:basedOn w:val="5"/>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199</Words>
  <Characters>202</Characters>
  <Lines>1</Lines>
  <Paragraphs>1</Paragraphs>
  <TotalTime>932</TotalTime>
  <ScaleCrop>false</ScaleCrop>
  <LinksUpToDate>false</LinksUpToDate>
  <CharactersWithSpaces>203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2021-05-18T03:38:00Z</dcterms:created>
  <dc:creator>Administrator</dc:creator>
  <cp:lastModifiedBy>李志玲</cp:lastModifiedBy>
  <dcterms:modified xsi:type="dcterms:W3CDTF">2024-03-20T01:22:32Z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A7D194883EC749759B1854CB019C591F</vt:lpwstr>
  </property>
</Properties>
</file>