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jc w:val="center"/>
        <w:rPr>
          <w:rFonts w:hint="eastAsia" w:ascii="方正小标宋简体" w:hAnsi="方正小标宋简体" w:eastAsia="方正小标宋简体" w:cs="方正小标宋简体"/>
          <w:sz w:val="40"/>
          <w:szCs w:val="40"/>
          <w:lang w:val="en-US" w:eastAsia="zh-CN"/>
        </w:rPr>
      </w:pP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河北唐山芦台经济开发区新华路街道办事处</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一、基本情况</w:t>
      </w:r>
    </w:p>
    <w:p>
      <w:pPr>
        <w:spacing w:line="500" w:lineRule="exact"/>
        <w:ind w:firstLine="560"/>
        <w:rPr>
          <w:rFonts w:hint="eastAsia" w:eastAsia="方正仿宋_GBK"/>
          <w:color w:val="000000"/>
          <w:sz w:val="28"/>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eastAsia="方正仿宋_GBK"/>
          <w:color w:val="000000"/>
          <w:sz w:val="28"/>
          <w:lang w:val="en-US" w:eastAsia="zh-CN"/>
        </w:rPr>
        <w:t>为贯彻落实全国全省城市基层党建工作座谈会精神，进一步提升街道社区党建工作整体水平，夯实党在城市的执政基础，现就进一步加强社区工作经费和党组织服务群众专项经费的使用管理，提出如下意见：</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社区工作经费，包括办公经费和党建经费两部分。按照每个城市社区每年不低于10万元、每个城镇社区每年不低于5万元的标准，将社区工作经费列入区（市、县）财政预算，鼓励和支持各地根据社区规模、人口数量等实际情况加大投入。</w:t>
      </w:r>
    </w:p>
    <w:p>
      <w:pPr>
        <w:spacing w:line="500" w:lineRule="exact"/>
        <w:ind w:firstLine="560"/>
        <w:rPr>
          <w:rFonts w:hint="default" w:eastAsia="方正仿宋_GBK"/>
          <w:color w:val="000000"/>
          <w:sz w:val="28"/>
          <w:lang w:val="en-US" w:eastAsia="zh-CN"/>
        </w:rPr>
      </w:pPr>
      <w:r>
        <w:rPr>
          <w:rFonts w:hint="eastAsia" w:eastAsia="方正仿宋_GBK"/>
          <w:color w:val="000000"/>
          <w:sz w:val="28"/>
          <w:lang w:val="en-US" w:eastAsia="zh-CN"/>
        </w:rPr>
        <w:t>根据文件要求，我单位收上级部门下拨社区工作经费10万元，服务群众专项经费20万元。社区办公经费主要用于保障社区日常办公运转的办公用品费、水电费、报刊征订费、交通费、通讯费等必要开支，党建经费主要用于党员教育培训、党员开展活动、社区老党员和困难党员的走访慰问等。2023年社区办公经费已使用 99542.96元，其中电费3675.96 元，邮电费 13380元，办公费33336元。社区取暖费 10677元，维修费    9201元，其他商品和服务支出14973元，固定资产采购 14300元。</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服务群众专项经费。市辖区社区党组织服务群众专项经费，列入市、区两级财政预算，其中，唐山市按照每个社区每年不低于40万元的标准核定，其他市辖区按照每个社区每年不低于20万元的标准核定。</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服务群众专项经费：改善人居环境，社区环境整治使用  45890 元，社区党群基础设施建设及维护 150310 元，组织社区便民活动购买固定资产3800元。</w:t>
      </w:r>
    </w:p>
    <w:p>
      <w:pPr>
        <w:spacing w:line="500" w:lineRule="exact"/>
        <w:ind w:firstLine="560"/>
        <w:rPr>
          <w:rFonts w:hint="default" w:eastAsia="方正仿宋_GBK"/>
          <w:color w:val="000000"/>
          <w:sz w:val="28"/>
          <w:lang w:val="en-US" w:eastAsia="zh-CN"/>
        </w:rPr>
      </w:pPr>
      <w:r>
        <w:rPr>
          <w:rFonts w:hint="eastAsia" w:eastAsia="方正仿宋_GBK"/>
          <w:color w:val="000000"/>
          <w:sz w:val="28"/>
          <w:lang w:val="en-US" w:eastAsia="zh-CN"/>
        </w:rPr>
        <w:t>服务群众专项经费（分场工作经费）根据相关文件要求，我单位收分场工作经费180万元，用于分场的日常运转，2023年分场工作经费已使用 1800000元，其中办公费9955.49元，邮电费 11644元，水费77358.48元，电费69838.82元，取暖费 40000元，维修费559019.51元，其他商品和服务支出20600元，劳务费349161.7元，固定临时工工资656022元，固定资产采购6400元。</w:t>
      </w:r>
    </w:p>
    <w:p>
      <w:pPr>
        <w:spacing w:line="500" w:lineRule="exact"/>
        <w:ind w:firstLine="560"/>
        <w:rPr>
          <w:rFonts w:hint="default" w:eastAsia="方正仿宋_GBK"/>
          <w:color w:val="auto"/>
          <w:sz w:val="28"/>
          <w:highlight w:val="none"/>
          <w:lang w:val="en-US" w:eastAsia="zh-CN"/>
        </w:rPr>
      </w:pPr>
      <w:r>
        <w:rPr>
          <w:rFonts w:hint="eastAsia" w:eastAsia="方正仿宋_GBK"/>
          <w:color w:val="auto"/>
          <w:sz w:val="28"/>
          <w:highlight w:val="none"/>
          <w:lang w:val="en-US" w:eastAsia="zh-CN"/>
        </w:rPr>
        <w:t>社区工作者薪酬待遇经费，</w:t>
      </w:r>
      <w:r>
        <w:rPr>
          <w:rFonts w:hint="eastAsia" w:eastAsia="方正仿宋_GBK"/>
          <w:color w:val="auto"/>
          <w:sz w:val="28"/>
          <w:lang w:val="en-US" w:eastAsia="zh-CN"/>
        </w:rPr>
        <w:t>按要求及时发放，应急值守指挥调度系统年费及人脸识别测温联网设备年费，按要求及时限缴纳，目前设备运转正常。</w:t>
      </w:r>
      <w:r>
        <w:rPr>
          <w:rFonts w:hint="eastAsia" w:eastAsia="方正仿宋_GBK"/>
          <w:color w:val="auto"/>
          <w:sz w:val="28"/>
          <w:highlight w:val="none"/>
          <w:lang w:val="en-US" w:eastAsia="zh-CN"/>
        </w:rPr>
        <w:t>安可替代计算机，按时按量完成采购任务。</w:t>
      </w:r>
    </w:p>
    <w:p>
      <w:pPr>
        <w:spacing w:line="500" w:lineRule="exact"/>
        <w:ind w:firstLine="56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二、绩效自评工作情况</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一)总体绩效目标：依据法律法规规定和授权，履行相应的政府职能；贯彻执行市、区管委会的决定、命令、指示，完成市、区管委会部署的各项任务。加强街道党工委自身建设和基层党组织建设；负责指导辖区内业主大会的成立和业主委员会的选举、物业监督管理工作，指导居民委员会开展“六位一体”社区治理体系建设：深化生态环境整治提升工程，强化社区基础设施建设：做好信访工作，调解民间纠纷，负责社区矫正，协调推动社会治安综合治理；完善应急管理机制，做好辖区内生产经营单位的安全生产管理；开展爱国卫生运动，负责本辖区消防，防汛抗旱，防防灾减灾救灾等工作；退役军人服务站做好国防动员和兵役工作、退役军人服务、拥军优属、精准帮扶等工作，开展法制宣传和社会公德教育，发动和组织社区成员开展各类社区公益事业；综合执法队负责辖区日常隐患排查、信息报告、协助执法，以及小摊点作坊的监督管理；形成综合服务中心，开展“互联网+政务服务”有关工作，集中办理行政审批和公共服务事项，做好最低生活保障，城乡居民基本医疗保险、残疾人帮扶救助工作等。</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（二）分项绩效目标</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1、加强预算执行管理</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绩效目标：厉行节约，压缩支出，强化部门支出责任，确保各项项目支出及时高效。</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绩效指标严格按照预算执行，确保项目及时高效完成。</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2、完成居民申请审批任务</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绩效目标：退休独生子女补贴、高龄老人补贴、最低生活保障等行政审批要一次性告知，避免居民跑多次，提高居民服务满意度。</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绩效指标：行政审批办结率100%。</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3、所有来信来访及时予以答复</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绩效目标：对信访来信来访，要做到三到位一处理：诉求合理的解决到位、诉求无理的思想教育到位、生活困难的帮扶救助到位；行为违法的，依法处理。绩效指标：信访来件答复率100%。</w:t>
      </w:r>
    </w:p>
    <w:p>
      <w:pPr>
        <w:spacing w:line="500" w:lineRule="exact"/>
        <w:ind w:firstLine="560"/>
        <w:rPr>
          <w:rFonts w:hint="eastAsia" w:ascii="方正仿宋简体" w:hAnsi="方正仿宋简体" w:eastAsia="方正仿宋简体" w:cs="方正仿宋简体"/>
          <w:sz w:val="32"/>
          <w:szCs w:val="32"/>
          <w:lang w:val="en-US" w:eastAsia="zh-CN"/>
        </w:rPr>
      </w:pPr>
      <w:r>
        <w:rPr>
          <w:rFonts w:hint="eastAsia" w:eastAsia="方正仿宋_GBK"/>
          <w:color w:val="000000"/>
          <w:sz w:val="28"/>
          <w:lang w:val="en-US" w:eastAsia="zh-CN"/>
        </w:rPr>
        <w:t>（三）工作保障措施。加强预算执行管理，定期对预算和实际支出情况进行数据比对，避免资金额度超支使用成立专项工作领导小组，明确责任分工，落实责任到人，确保高效完成：定期召开党政领导班子会议，对预算实施中遇到的重大问题进行研判分析，制定解决方案。</w:t>
      </w:r>
    </w:p>
    <w:p>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绩效自评分析</w:t>
      </w:r>
    </w:p>
    <w:p>
      <w:pPr>
        <w:spacing w:line="500" w:lineRule="exact"/>
        <w:ind w:firstLine="560"/>
        <w:rPr>
          <w:rFonts w:hint="eastAsia" w:eastAsia="方正仿宋_GBK"/>
          <w:color w:val="000000"/>
          <w:sz w:val="28"/>
          <w:lang w:val="en-US" w:eastAsia="zh-CN"/>
        </w:rPr>
      </w:pPr>
      <w:r>
        <w:rPr>
          <w:rFonts w:hint="eastAsia" w:eastAsia="方正仿宋_GBK"/>
          <w:color w:val="000000"/>
          <w:sz w:val="28"/>
          <w:lang w:val="en-US" w:eastAsia="zh-CN"/>
        </w:rPr>
        <w:t>我单位辖区目前有两个社区，本年度我单位进行便民服务、社区服务设施维修、社区文体活动、社团组织、社区环境整治、社区志愿服务等，发挥党员先锋模范作用，带动社区和谐发展。按规、按时、按质完成 维护社会稳定，促进社会主义精神文明和物质文明建设，提升社区整体环境，增强群众的幸福感的目标。我单位优化社区2个，资金使用合规，完全按规定使用资金，年度资金执行率为100%，按要求在预计完成时间内完成区级财政投入。</w:t>
      </w:r>
    </w:p>
    <w:p>
      <w:pPr>
        <w:numPr>
          <w:ilvl w:val="0"/>
          <w:numId w:val="1"/>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主要经验及做法</w:t>
      </w:r>
    </w:p>
    <w:p>
      <w:pPr>
        <w:spacing w:line="500" w:lineRule="exact"/>
        <w:ind w:firstLine="560"/>
        <w:rPr>
          <w:rFonts w:hint="default" w:eastAsia="方正仿宋_GBK"/>
          <w:color w:val="000000"/>
          <w:sz w:val="28"/>
          <w:lang w:val="en-US" w:eastAsia="zh-CN"/>
        </w:rPr>
      </w:pPr>
      <w:r>
        <w:rPr>
          <w:rFonts w:hint="eastAsia" w:eastAsia="方正仿宋_GBK"/>
          <w:color w:val="000000"/>
          <w:sz w:val="28"/>
          <w:lang w:val="en-US" w:eastAsia="zh-CN"/>
        </w:rPr>
        <w:t>街道作为基层单位，经常与老百姓打交道，社区作为连接百姓与街道的纽带，起着承上启下的作用，积极发挥社区作用，进行社区优化建设，通过社区组织各项活动，提高民众认知度，通过环境整治，改善人居环境，提升整体开发区的整体形象，进行便民、利民建设提升群众的幸福感。</w:t>
      </w:r>
    </w:p>
    <w:p>
      <w:pPr>
        <w:numPr>
          <w:ilvl w:val="0"/>
          <w:numId w:val="1"/>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五、存在问题、原因分析及有关建议</w:t>
      </w:r>
    </w:p>
    <w:p>
      <w:pPr>
        <w:spacing w:line="500" w:lineRule="exact"/>
        <w:ind w:firstLine="560"/>
        <w:rPr>
          <w:rFonts w:hint="default" w:eastAsia="方正仿宋_GBK"/>
          <w:color w:val="000000"/>
          <w:sz w:val="28"/>
          <w:lang w:val="en-US" w:eastAsia="zh-CN"/>
        </w:rPr>
      </w:pPr>
      <w:r>
        <w:rPr>
          <w:rFonts w:hint="eastAsia" w:eastAsia="方正仿宋_GBK"/>
          <w:color w:val="000000"/>
          <w:sz w:val="28"/>
          <w:lang w:val="en-US" w:eastAsia="zh-CN"/>
        </w:rPr>
        <w:t>年初预算项目与实际执行项目不完全相符，年初未设定固定资产采购计划，导致实际支出与年初计划不符，服务群众专项经费，因具体基础设施维护发生时间不定，导致基础设施维护费用与年初计划不一致，进一步细化预算指标，使预算与实际支出相符</w:t>
      </w:r>
    </w:p>
    <w:p>
      <w:pPr>
        <w:numPr>
          <w:ilvl w:val="0"/>
          <w:numId w:val="1"/>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其他需要说明事项</w:t>
      </w:r>
    </w:p>
    <w:p>
      <w:pPr>
        <w:numPr>
          <w:ilvl w:val="0"/>
          <w:numId w:val="0"/>
        </w:numPr>
        <w:ind w:leftChars="20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无</w:t>
      </w:r>
    </w:p>
    <w:p>
      <w:pPr>
        <w:rPr>
          <w:rFonts w:hint="eastAsia" w:ascii="方正仿宋简体" w:hAnsi="方正仿宋简体" w:eastAsia="方正仿宋简体" w:cs="方正仿宋简体"/>
          <w:sz w:val="32"/>
          <w:szCs w:val="32"/>
          <w:lang w:val="en-US" w:eastAsia="zh-CN"/>
        </w:rPr>
      </w:pPr>
    </w:p>
    <w:p>
      <w:pPr>
        <w:numPr>
          <w:ilvl w:val="0"/>
          <w:numId w:val="0"/>
        </w:numPr>
        <w:rPr>
          <w:rFonts w:hint="default" w:ascii="黑体" w:hAnsi="黑体" w:eastAsia="黑体" w:cs="黑体"/>
          <w:sz w:val="32"/>
          <w:szCs w:val="32"/>
          <w:lang w:val="en-US" w:eastAsia="zh-CN"/>
        </w:rPr>
      </w:pP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 w:name="方正仿宋简体">
    <w:panose1 w:val="02000000000000000000"/>
    <w:charset w:val="86"/>
    <w:family w:val="auto"/>
    <w:pitch w:val="default"/>
    <w:sig w:usb0="A00002BF" w:usb1="184F6CFA" w:usb2="00000012" w:usb3="00000000" w:csb0="00040001" w:csb1="00000000"/>
  </w:font>
  <w:font w:name="方正仿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A9D5B"/>
    <w:multiLevelType w:val="singleLevel"/>
    <w:tmpl w:val="2F5A9D5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5M2IzZTQxMjVkZTQ0NWM3YmU1ZmVmODBlMmU2MGUifQ=="/>
    <w:docVar w:name="KSO_WPS_MARK_KEY" w:val="9bcc084a-3a2c-45de-a54d-78fc2d10e834"/>
  </w:docVars>
  <w:rsids>
    <w:rsidRoot w:val="00000000"/>
    <w:rsid w:val="014E4415"/>
    <w:rsid w:val="07156FB2"/>
    <w:rsid w:val="08C33FDA"/>
    <w:rsid w:val="0A3702F6"/>
    <w:rsid w:val="0A6403B8"/>
    <w:rsid w:val="0D677A86"/>
    <w:rsid w:val="0FD37F94"/>
    <w:rsid w:val="129B6730"/>
    <w:rsid w:val="1638724C"/>
    <w:rsid w:val="16D15726"/>
    <w:rsid w:val="188D7403"/>
    <w:rsid w:val="2C4E1298"/>
    <w:rsid w:val="2CED1DE4"/>
    <w:rsid w:val="2D77689A"/>
    <w:rsid w:val="2E2A12F8"/>
    <w:rsid w:val="361D4F44"/>
    <w:rsid w:val="3B3738C3"/>
    <w:rsid w:val="3DCC5B18"/>
    <w:rsid w:val="3FB21F0F"/>
    <w:rsid w:val="4602526F"/>
    <w:rsid w:val="4613720A"/>
    <w:rsid w:val="4741557E"/>
    <w:rsid w:val="504C2305"/>
    <w:rsid w:val="545E1003"/>
    <w:rsid w:val="5AFA5829"/>
    <w:rsid w:val="5B642E9F"/>
    <w:rsid w:val="62724E61"/>
    <w:rsid w:val="64E7608A"/>
    <w:rsid w:val="65B16886"/>
    <w:rsid w:val="6BD50EC4"/>
    <w:rsid w:val="75491A51"/>
    <w:rsid w:val="78A15DE0"/>
    <w:rsid w:val="7AFE32DE"/>
    <w:rsid w:val="7D807FDA"/>
    <w:rsid w:val="7E0202AF"/>
    <w:rsid w:val="7E042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2008</Words>
  <Characters>2028</Characters>
  <Lines>0</Lines>
  <Paragraphs>0</Paragraphs>
  <TotalTime>8</TotalTime>
  <ScaleCrop>false</ScaleCrop>
  <LinksUpToDate>false</LinksUpToDate>
  <CharactersWithSpaces>2083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lenovo</cp:lastModifiedBy>
  <dcterms:modified xsi:type="dcterms:W3CDTF">2024-03-28T06:35:43Z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9CBC1FC9047B40A5B9FDDAA1EBC0E03D_13</vt:lpwstr>
  </property>
</Properties>
</file>