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行政审批局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eastAsia="zh-CN"/>
        </w:rPr>
        <w:t>河北唐山芦台经济开发区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行政审批局</w:t>
      </w:r>
      <w:r>
        <w:rPr>
          <w:rFonts w:hint="eastAsia" w:ascii="仿宋" w:hAnsi="仿宋" w:eastAsia="仿宋"/>
          <w:sz w:val="28"/>
          <w:szCs w:val="28"/>
        </w:rPr>
        <w:t>预算资金按预算支出大类分为基本支出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183.41</w:t>
      </w:r>
      <w:r>
        <w:rPr>
          <w:rFonts w:hint="eastAsia" w:ascii="仿宋" w:hAnsi="仿宋" w:eastAsia="仿宋"/>
          <w:sz w:val="28"/>
          <w:szCs w:val="28"/>
        </w:rPr>
        <w:t>万元，主要为人员工资、社保等以及单位运转的</w:t>
      </w:r>
      <w:r>
        <w:rPr>
          <w:rFonts w:hint="eastAsia" w:ascii="仿宋" w:hAnsi="仿宋" w:eastAsia="仿宋"/>
          <w:sz w:val="28"/>
          <w:szCs w:val="28"/>
          <w:lang w:eastAsia="zh-CN"/>
        </w:rPr>
        <w:t>日常</w:t>
      </w:r>
      <w:r>
        <w:rPr>
          <w:rFonts w:hint="eastAsia" w:ascii="仿宋" w:hAnsi="仿宋" w:eastAsia="仿宋"/>
          <w:sz w:val="28"/>
          <w:szCs w:val="28"/>
        </w:rPr>
        <w:t>公用经费；项目预算支出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16.12</w:t>
      </w:r>
      <w:r>
        <w:rPr>
          <w:rFonts w:hint="eastAsia" w:ascii="仿宋" w:hAnsi="仿宋" w:eastAsia="仿宋"/>
          <w:sz w:val="28"/>
          <w:szCs w:val="28"/>
        </w:rPr>
        <w:t>万元，项目安排为：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政务服务大厅租赁费：12.26万元，政务中心证照费0.5万元，大厅设施维护维修费0.8万元，安可替代国产化计算机采购费0.76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万元，2023年工程建设项目联合审批系统运维费用1.8万元，共计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5项。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资金使用情况：政务服务大厅租赁费12.26万元，已支出12.26万元；政务中心证照费0.5万元，已支出0.5万元；大厅设施维护维修费0.8万元，已支出0.798万元；安可替代国产化计算机采购费0.76万元，已支出0.689万元；2023年工程建设项目联合审批系统运维费用1.8万元，已支出1.8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本单位项目支出严格按照财务程序执行，按照程序对资金进行申请、使用，及时规范对账务进行账务处理和会计核算。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2023年对本年项目资金使用情况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进行了指标评价，该专项经费为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审批工作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提供有效资金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保障，具体统计表如下：</w:t>
      </w:r>
    </w:p>
    <w:tbl>
      <w:tblPr>
        <w:tblStyle w:val="4"/>
        <w:tblW w:w="69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3011"/>
        <w:gridCol w:w="1696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3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3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政务服务大厅租赁费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12.26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3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政务中心证照费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3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2023年工程建设项目联合审批系统运维费用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1.8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3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大厅设施维护维修费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0.8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3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安可替代国产化计算机采购费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0.76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合计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（一）加强对财务工作的重视，形成有力的工作机制。根据工作职责，落实资金使用及预算执行责任，对于每一项资金的使用，认真做好审批工作，保障预算执行工作的高效有序。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（二）做好厉行节约工作，确保将有限的资金发挥最大的效益。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加强财务工作及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法律法规制度的学习。认真组织学习政府会计制度及各类政策规定等，规范预算收支管理，严格按项目和进度执行预算，增强预算的约束力和严肃性。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存在问题及原因：预算执行进度与效率有待加强，我单位对于项目支出进度关注较少。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有关建议：1.进一步加强本单位财务管理，严格落实财务制度执行，不断提高财政管理水平。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2.建议通过强化专业培训、学习交流等措施，帮助和促进本单位现有人员提高绩效管理业务水平、实际工作能力。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3.督促各科室加快项目实施进度，切实加大预算执行力度，提高预算资金使用效率，年底确保全部执行完所有的预算指标，全面完成单位年初制定的各项目标任务。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无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FC55AF"/>
    <w:multiLevelType w:val="singleLevel"/>
    <w:tmpl w:val="20FC55A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8C33FDA"/>
    <w:rsid w:val="0A3702F6"/>
    <w:rsid w:val="0F0803F0"/>
    <w:rsid w:val="188D7403"/>
    <w:rsid w:val="19504DEC"/>
    <w:rsid w:val="2D77689A"/>
    <w:rsid w:val="31DA2FB5"/>
    <w:rsid w:val="361D4F44"/>
    <w:rsid w:val="39B70F36"/>
    <w:rsid w:val="4602526F"/>
    <w:rsid w:val="4741557E"/>
    <w:rsid w:val="519C6160"/>
    <w:rsid w:val="545E1003"/>
    <w:rsid w:val="579908AA"/>
    <w:rsid w:val="5B642E9F"/>
    <w:rsid w:val="5E9051C5"/>
    <w:rsid w:val="6788182B"/>
    <w:rsid w:val="6A087A0D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13</TotalTime>
  <ScaleCrop>false</ScaleCrop>
  <LinksUpToDate>false</LinksUpToDate>
  <CharactersWithSpaces>203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Lenovo</cp:lastModifiedBy>
  <dcterms:modified xsi:type="dcterms:W3CDTF">2024-03-11T08:27:55Z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A7D194883EC749759B1854CB019C591F</vt:lpwstr>
  </property>
</Properties>
</file>