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DE" w:rsidRDefault="004726DE" w:rsidP="004726DE">
      <w:pPr>
        <w:shd w:val="clear" w:color="auto" w:fill="FFFFFF"/>
        <w:spacing w:line="540" w:lineRule="atLeast"/>
        <w:ind w:firstLine="640"/>
        <w:jc w:val="center"/>
        <w:rPr>
          <w:rFonts w:ascii="楷体_GB2312" w:eastAsia="楷体_GB2312"/>
          <w:b/>
          <w:color w:val="393939"/>
          <w:sz w:val="32"/>
          <w:szCs w:val="32"/>
        </w:rPr>
      </w:pPr>
      <w:r>
        <w:rPr>
          <w:rFonts w:ascii="楷体_GB2312" w:eastAsia="楷体_GB2312" w:hint="eastAsia"/>
          <w:b/>
          <w:color w:val="393939"/>
          <w:sz w:val="32"/>
          <w:szCs w:val="32"/>
        </w:rPr>
        <w:t>2017年芦台开发区政府决算情况说明</w:t>
      </w:r>
    </w:p>
    <w:p w:rsidR="004726DE" w:rsidRDefault="004726DE" w:rsidP="004726DE">
      <w:pPr>
        <w:shd w:val="clear" w:color="auto" w:fill="FFFFFF"/>
        <w:spacing w:line="540" w:lineRule="atLeast"/>
        <w:ind w:firstLine="640"/>
        <w:rPr>
          <w:rFonts w:ascii="楷体_GB2312" w:eastAsia="楷体_GB2312"/>
          <w:b/>
          <w:color w:val="393939"/>
          <w:sz w:val="32"/>
          <w:szCs w:val="32"/>
        </w:rPr>
      </w:pPr>
    </w:p>
    <w:p w:rsidR="009C789C" w:rsidRPr="009C789C" w:rsidRDefault="009C789C" w:rsidP="009C789C">
      <w:pPr>
        <w:widowControl/>
        <w:spacing w:line="58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</w:t>
      </w:r>
      <w:r w:rsidRPr="009C789C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2017年财政决算总体情况</w:t>
      </w:r>
    </w:p>
    <w:p w:rsidR="000B7FA0" w:rsidRPr="003979EC" w:rsidRDefault="004726DE" w:rsidP="003979EC">
      <w:pPr>
        <w:shd w:val="clear" w:color="auto" w:fill="FFFFFF"/>
        <w:spacing w:line="520" w:lineRule="atLeast"/>
        <w:ind w:firstLine="630"/>
        <w:outlineLvl w:val="0"/>
        <w:rPr>
          <w:rFonts w:ascii="仿宋_GB2312" w:eastAsia="仿宋_GB2312"/>
          <w:b/>
          <w:color w:val="393939"/>
          <w:sz w:val="32"/>
          <w:szCs w:val="32"/>
        </w:rPr>
      </w:pPr>
      <w:r w:rsidRPr="003979EC">
        <w:rPr>
          <w:rFonts w:ascii="仿宋_GB2312" w:eastAsia="仿宋_GB2312" w:hint="eastAsia"/>
          <w:b/>
          <w:color w:val="393939"/>
          <w:sz w:val="32"/>
          <w:szCs w:val="32"/>
        </w:rPr>
        <w:t>（一）</w:t>
      </w:r>
      <w:r w:rsidR="00E77216" w:rsidRPr="003979EC">
        <w:rPr>
          <w:rFonts w:ascii="仿宋_GB2312" w:eastAsia="仿宋_GB2312" w:hint="eastAsia"/>
          <w:b/>
          <w:color w:val="393939"/>
          <w:sz w:val="32"/>
          <w:szCs w:val="32"/>
        </w:rPr>
        <w:t>一般公共预算收支决算情况</w:t>
      </w:r>
    </w:p>
    <w:p w:rsidR="00E77216" w:rsidRDefault="00E77216" w:rsidP="00E77216">
      <w:pPr>
        <w:spacing w:line="600" w:lineRule="exact"/>
        <w:ind w:firstLineChars="204" w:firstLine="653"/>
        <w:rPr>
          <w:rFonts w:ascii="微软雅黑" w:eastAsia="微软雅黑" w:hAnsi="微软雅黑"/>
          <w:color w:val="393939"/>
          <w:sz w:val="23"/>
          <w:szCs w:val="23"/>
        </w:rPr>
      </w:pPr>
      <w:r>
        <w:rPr>
          <w:rFonts w:ascii="仿宋_GB2312" w:eastAsia="仿宋_GB2312" w:hint="eastAsia"/>
          <w:sz w:val="32"/>
          <w:szCs w:val="32"/>
        </w:rPr>
        <w:t>年初批准本级一般公共预算收入15600万元，</w:t>
      </w:r>
      <w:r>
        <w:rPr>
          <w:rFonts w:ascii="仿宋_GB2312" w:eastAsia="仿宋_GB2312" w:hint="eastAsia"/>
          <w:color w:val="393939"/>
          <w:sz w:val="32"/>
          <w:szCs w:val="32"/>
        </w:rPr>
        <w:t>一般公共预算支出</w:t>
      </w:r>
      <w:r>
        <w:rPr>
          <w:rFonts w:ascii="仿宋_GB2312" w:eastAsia="仿宋_GB2312" w:hint="eastAsia"/>
          <w:color w:val="000000"/>
          <w:sz w:val="32"/>
          <w:szCs w:val="32"/>
        </w:rPr>
        <w:t>26828</w:t>
      </w:r>
      <w:r>
        <w:rPr>
          <w:rFonts w:ascii="仿宋_GB2312" w:eastAsia="仿宋_GB2312" w:hint="eastAsia"/>
          <w:color w:val="393939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调整预算后，一般公共预算收入15600万元，</w:t>
      </w:r>
      <w:r>
        <w:rPr>
          <w:rFonts w:ascii="仿宋_GB2312" w:eastAsia="仿宋_GB2312" w:hint="eastAsia"/>
          <w:color w:val="393939"/>
          <w:sz w:val="32"/>
          <w:szCs w:val="32"/>
        </w:rPr>
        <w:t>一般公共预算支出32033万元。决算结果，</w:t>
      </w:r>
      <w:r>
        <w:rPr>
          <w:rFonts w:ascii="仿宋_GB2312" w:eastAsia="仿宋_GB2312" w:hint="eastAsia"/>
          <w:sz w:val="32"/>
          <w:szCs w:val="32"/>
        </w:rPr>
        <w:t>一般公共预算收入15635万元，完成调整预算100.2%，加返还性收入1257万元，转移支付收入13418万元，上年结转结余94万元，调入资金1227万元，调入预算稳定调节基金4499万元，减上解上级支出2835万元，全部可用财力33295万元。一般公共预算支出</w:t>
      </w:r>
      <w:r>
        <w:rPr>
          <w:rFonts w:ascii="仿宋_GB2312" w:eastAsia="仿宋_GB2312" w:hint="eastAsia"/>
          <w:color w:val="393939"/>
          <w:sz w:val="32"/>
          <w:szCs w:val="32"/>
        </w:rPr>
        <w:t>32015万元，完成调整预算的99.9%；补充预算稳定调节基金1262万元，收支相抵，年终结转18万元。</w:t>
      </w:r>
    </w:p>
    <w:p w:rsidR="00E77216" w:rsidRPr="003979EC" w:rsidRDefault="00E77216" w:rsidP="003979EC">
      <w:pPr>
        <w:shd w:val="clear" w:color="auto" w:fill="FFFFFF"/>
        <w:spacing w:line="520" w:lineRule="atLeast"/>
        <w:ind w:firstLine="630"/>
        <w:outlineLvl w:val="0"/>
        <w:rPr>
          <w:rFonts w:ascii="仿宋_GB2312" w:eastAsia="仿宋_GB2312"/>
          <w:b/>
          <w:color w:val="393939"/>
          <w:sz w:val="32"/>
          <w:szCs w:val="32"/>
        </w:rPr>
      </w:pPr>
      <w:r w:rsidRPr="003979EC">
        <w:rPr>
          <w:rFonts w:ascii="仿宋_GB2312" w:eastAsia="仿宋_GB2312" w:hint="eastAsia"/>
          <w:b/>
          <w:color w:val="393939"/>
          <w:sz w:val="32"/>
          <w:szCs w:val="32"/>
        </w:rPr>
        <w:t>（二）政府性基金预算执行情况</w:t>
      </w:r>
    </w:p>
    <w:p w:rsidR="00E77216" w:rsidRDefault="00E77216" w:rsidP="00E77216">
      <w:pPr>
        <w:shd w:val="clear" w:color="auto" w:fill="FFFFFF"/>
        <w:spacing w:line="540" w:lineRule="atLeas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年初批准本级</w:t>
      </w:r>
      <w:r>
        <w:rPr>
          <w:rFonts w:ascii="仿宋_GB2312" w:eastAsia="仿宋_GB2312" w:hint="eastAsia"/>
          <w:color w:val="393939"/>
          <w:sz w:val="32"/>
          <w:szCs w:val="32"/>
        </w:rPr>
        <w:t>政府性基金预算收入</w:t>
      </w:r>
      <w:r>
        <w:rPr>
          <w:rFonts w:ascii="仿宋_GB2312" w:eastAsia="仿宋_GB2312" w:hAnsi="仿宋" w:hint="eastAsia"/>
          <w:kern w:val="0"/>
          <w:sz w:val="32"/>
          <w:szCs w:val="32"/>
        </w:rPr>
        <w:t>7744万元，</w:t>
      </w:r>
      <w:r>
        <w:rPr>
          <w:rFonts w:ascii="仿宋_GB2312" w:eastAsia="仿宋_GB2312" w:hint="eastAsia"/>
          <w:color w:val="393939"/>
          <w:sz w:val="32"/>
          <w:szCs w:val="32"/>
        </w:rPr>
        <w:t>政府性基金预算支出7744万元。</w:t>
      </w:r>
      <w:r>
        <w:rPr>
          <w:rFonts w:ascii="仿宋_GB2312" w:eastAsia="仿宋_GB2312" w:hint="eastAsia"/>
          <w:sz w:val="32"/>
          <w:szCs w:val="32"/>
        </w:rPr>
        <w:t>调整预算后，</w:t>
      </w:r>
      <w:r>
        <w:rPr>
          <w:rFonts w:ascii="仿宋_GB2312" w:eastAsia="仿宋_GB2312" w:hint="eastAsia"/>
          <w:color w:val="393939"/>
          <w:sz w:val="32"/>
          <w:szCs w:val="32"/>
        </w:rPr>
        <w:t>政府性基金预算收入10277</w:t>
      </w:r>
      <w:r>
        <w:rPr>
          <w:rFonts w:ascii="仿宋_GB2312" w:eastAsia="仿宋_GB2312" w:hint="eastAsia"/>
          <w:color w:val="000000"/>
          <w:sz w:val="32"/>
          <w:szCs w:val="32"/>
        </w:rPr>
        <w:t>万元，</w:t>
      </w:r>
      <w:r>
        <w:rPr>
          <w:rFonts w:ascii="仿宋_GB2312" w:eastAsia="仿宋_GB2312" w:hint="eastAsia"/>
          <w:color w:val="393939"/>
          <w:sz w:val="32"/>
          <w:szCs w:val="32"/>
        </w:rPr>
        <w:t>政府性基金预算支出10587万元。决算结果，政府性基金收入10287万元，完成调整预算的100.1%，加上年结转收入1万元，上级补助收入309万元，政府性基金财力10597万元。政府性基金支出10581万元，完成调整预算99.9%，调出资金10万元，年终结转6万元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77216" w:rsidRPr="003979EC" w:rsidRDefault="00E77216" w:rsidP="003979EC">
      <w:pPr>
        <w:shd w:val="clear" w:color="auto" w:fill="FFFFFF"/>
        <w:spacing w:line="520" w:lineRule="atLeast"/>
        <w:ind w:firstLine="630"/>
        <w:outlineLvl w:val="0"/>
        <w:rPr>
          <w:rFonts w:ascii="仿宋_GB2312" w:eastAsia="仿宋_GB2312"/>
          <w:b/>
          <w:color w:val="393939"/>
          <w:sz w:val="32"/>
          <w:szCs w:val="32"/>
        </w:rPr>
      </w:pPr>
      <w:r w:rsidRPr="003979EC">
        <w:rPr>
          <w:rFonts w:ascii="仿宋_GB2312" w:eastAsia="仿宋_GB2312" w:hint="eastAsia"/>
          <w:b/>
          <w:color w:val="393939"/>
          <w:sz w:val="32"/>
          <w:szCs w:val="32"/>
        </w:rPr>
        <w:t>（三）国有资本经营预算执行情况</w:t>
      </w:r>
    </w:p>
    <w:p w:rsidR="00E77216" w:rsidRDefault="00E77216" w:rsidP="00E77216">
      <w:pPr>
        <w:widowControl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int="eastAsia"/>
          <w:color w:val="393939"/>
          <w:sz w:val="32"/>
          <w:szCs w:val="32"/>
        </w:rPr>
        <w:lastRenderedPageBreak/>
        <w:t>我区无国有资本经营预算。</w:t>
      </w:r>
    </w:p>
    <w:p w:rsidR="00E77216" w:rsidRPr="003979EC" w:rsidRDefault="00E77216" w:rsidP="003979EC">
      <w:pPr>
        <w:shd w:val="clear" w:color="auto" w:fill="FFFFFF"/>
        <w:spacing w:line="520" w:lineRule="atLeast"/>
        <w:ind w:firstLine="630"/>
        <w:outlineLvl w:val="0"/>
        <w:rPr>
          <w:rFonts w:ascii="仿宋_GB2312" w:eastAsia="仿宋_GB2312"/>
          <w:b/>
          <w:color w:val="393939"/>
          <w:sz w:val="32"/>
          <w:szCs w:val="32"/>
        </w:rPr>
      </w:pPr>
      <w:r w:rsidRPr="003979EC">
        <w:rPr>
          <w:rFonts w:ascii="仿宋_GB2312" w:eastAsia="仿宋_GB2312" w:hint="eastAsia"/>
          <w:b/>
          <w:color w:val="393939"/>
          <w:sz w:val="32"/>
          <w:szCs w:val="32"/>
        </w:rPr>
        <w:t>（四）社会保障基金预算执行情况</w:t>
      </w:r>
    </w:p>
    <w:p w:rsidR="00E77216" w:rsidRDefault="00E77216" w:rsidP="00E77216">
      <w:pPr>
        <w:shd w:val="clear" w:color="auto" w:fill="FFFFFF"/>
        <w:spacing w:line="520" w:lineRule="atLeast"/>
        <w:ind w:firstLine="640"/>
        <w:rPr>
          <w:rFonts w:ascii="楷体_GB2312" w:eastAsia="楷体_GB2312"/>
          <w:b/>
          <w:color w:val="393939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年初批准本级</w:t>
      </w:r>
      <w:r>
        <w:rPr>
          <w:rFonts w:ascii="仿宋_GB2312" w:eastAsia="仿宋_GB2312" w:hint="eastAsia"/>
          <w:color w:val="000000"/>
          <w:sz w:val="32"/>
          <w:szCs w:val="32"/>
        </w:rPr>
        <w:t>社会保险基金预算收入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15689万元，</w:t>
      </w:r>
      <w:r>
        <w:rPr>
          <w:rFonts w:ascii="仿宋_GB2312" w:eastAsia="仿宋_GB2312" w:hint="eastAsia"/>
          <w:color w:val="000000"/>
          <w:sz w:val="32"/>
          <w:szCs w:val="32"/>
        </w:rPr>
        <w:t>社会保险基金预算支出15064万元。调整预算后，社会保险基金预算收入15715万元，社会保险基金预算支出14535万元。决算结果，社会保险基金收入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27274万</w:t>
      </w:r>
      <w:r>
        <w:rPr>
          <w:rFonts w:ascii="仿宋_GB2312" w:eastAsia="仿宋_GB2312" w:hint="eastAsia"/>
          <w:color w:val="000000"/>
          <w:sz w:val="32"/>
          <w:szCs w:val="32"/>
        </w:rPr>
        <w:t>元，完成调整预算173.6%，社会保险基金支出22645万元，完成调整预算155.8%；当年结余4629万元（年初结余5795万元，年末累计滚存结余10424万元）。</w:t>
      </w:r>
    </w:p>
    <w:p w:rsidR="00E77216" w:rsidRDefault="00E77216" w:rsidP="00E77216">
      <w:pPr>
        <w:widowControl/>
        <w:spacing w:line="58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二、2017年决算需要报告的其他事项</w:t>
      </w:r>
    </w:p>
    <w:p w:rsidR="00E77216" w:rsidRDefault="00E77216" w:rsidP="003979EC">
      <w:pPr>
        <w:shd w:val="clear" w:color="auto" w:fill="FFFFFF"/>
        <w:spacing w:line="520" w:lineRule="atLeast"/>
        <w:ind w:firstLine="630"/>
        <w:outlineLvl w:val="0"/>
        <w:rPr>
          <w:rFonts w:ascii="仿宋_GB2312" w:eastAsia="仿宋_GB2312"/>
          <w:b/>
          <w:color w:val="393939"/>
          <w:sz w:val="32"/>
          <w:szCs w:val="32"/>
        </w:rPr>
      </w:pPr>
      <w:r>
        <w:rPr>
          <w:rFonts w:ascii="仿宋_GB2312" w:eastAsia="仿宋_GB2312" w:hint="eastAsia"/>
          <w:b/>
          <w:color w:val="393939"/>
          <w:sz w:val="32"/>
          <w:szCs w:val="32"/>
        </w:rPr>
        <w:t>（一）预备费使用情况</w:t>
      </w:r>
    </w:p>
    <w:p w:rsidR="00E77216" w:rsidRDefault="00E77216" w:rsidP="00E77216">
      <w:pPr>
        <w:shd w:val="clear" w:color="auto" w:fill="FFFFFF"/>
        <w:spacing w:line="520" w:lineRule="atLeast"/>
        <w:ind w:firstLine="630"/>
        <w:rPr>
          <w:rFonts w:ascii="仿宋_GB2312" w:eastAsia="仿宋_GB2312"/>
          <w:color w:val="393939"/>
          <w:sz w:val="32"/>
          <w:szCs w:val="32"/>
        </w:rPr>
      </w:pPr>
      <w:r>
        <w:rPr>
          <w:rFonts w:ascii="仿宋_GB2312" w:eastAsia="仿宋_GB2312" w:hint="eastAsia"/>
          <w:color w:val="393939"/>
          <w:sz w:val="32"/>
          <w:szCs w:val="32"/>
        </w:rPr>
        <w:t>年初预算安排预备费235万元，预算执行中使用235万元，全部用于我区民生支出。</w:t>
      </w:r>
    </w:p>
    <w:p w:rsidR="00E77216" w:rsidRDefault="00E77216" w:rsidP="003979EC">
      <w:pPr>
        <w:shd w:val="clear" w:color="auto" w:fill="FFFFFF"/>
        <w:spacing w:line="520" w:lineRule="atLeast"/>
        <w:ind w:firstLine="630"/>
        <w:outlineLvl w:val="0"/>
        <w:rPr>
          <w:rFonts w:ascii="仿宋_GB2312" w:eastAsia="仿宋_GB2312"/>
          <w:b/>
          <w:color w:val="393939"/>
          <w:sz w:val="32"/>
          <w:szCs w:val="32"/>
        </w:rPr>
      </w:pPr>
      <w:r>
        <w:rPr>
          <w:rFonts w:ascii="仿宋_GB2312" w:eastAsia="仿宋_GB2312" w:hint="eastAsia"/>
          <w:b/>
          <w:color w:val="393939"/>
          <w:sz w:val="32"/>
          <w:szCs w:val="32"/>
        </w:rPr>
        <w:t>（二）预算稳定调节基金情况</w:t>
      </w:r>
    </w:p>
    <w:p w:rsidR="00E77216" w:rsidRDefault="00E77216" w:rsidP="00E77216">
      <w:pPr>
        <w:shd w:val="clear" w:color="auto" w:fill="FFFFFF"/>
        <w:spacing w:line="520" w:lineRule="atLeast"/>
        <w:ind w:firstLine="630"/>
        <w:rPr>
          <w:rFonts w:ascii="仿宋_GB2312" w:eastAsia="仿宋_GB2312"/>
          <w:color w:val="393939"/>
          <w:sz w:val="32"/>
          <w:szCs w:val="32"/>
        </w:rPr>
      </w:pPr>
      <w:r>
        <w:rPr>
          <w:rFonts w:ascii="仿宋_GB2312" w:eastAsia="仿宋_GB2312" w:hint="eastAsia"/>
          <w:color w:val="393939"/>
          <w:sz w:val="32"/>
          <w:szCs w:val="32"/>
        </w:rPr>
        <w:t>年初预算稳定调节金5321万元，预算执行过程中，动用预算稳定调节基金4499万元，补充预算稳定调节基金1262万元，年末预算稳定调节基金余额2084万元。</w:t>
      </w:r>
    </w:p>
    <w:p w:rsidR="00E77216" w:rsidRDefault="00E77216" w:rsidP="009C789C">
      <w:pPr>
        <w:shd w:val="clear" w:color="auto" w:fill="FFFFFF"/>
        <w:spacing w:line="520" w:lineRule="atLeast"/>
        <w:ind w:firstLine="630"/>
        <w:outlineLvl w:val="0"/>
        <w:rPr>
          <w:rFonts w:ascii="仿宋_GB2312" w:eastAsia="仿宋_GB2312"/>
          <w:b/>
          <w:color w:val="393939"/>
          <w:sz w:val="32"/>
          <w:szCs w:val="32"/>
        </w:rPr>
      </w:pPr>
      <w:r>
        <w:rPr>
          <w:rFonts w:ascii="仿宋_GB2312" w:eastAsia="仿宋_GB2312" w:hint="eastAsia"/>
          <w:b/>
          <w:color w:val="393939"/>
          <w:sz w:val="32"/>
          <w:szCs w:val="32"/>
        </w:rPr>
        <w:t>（三）财政转移支付情况</w:t>
      </w:r>
    </w:p>
    <w:p w:rsidR="00E77216" w:rsidRDefault="00E77216" w:rsidP="00E77216">
      <w:pPr>
        <w:widowControl/>
        <w:spacing w:line="58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2017年上级下达我区一般公共预算转移支付资金14675万元，其中：返还性收入1257万元，一般性转移支付收入10505万元，专项转移支付收入2913万元；政府性基金预算转移收入309万元。</w:t>
      </w:r>
    </w:p>
    <w:p w:rsidR="00E77216" w:rsidRPr="009C789C" w:rsidRDefault="00E77216" w:rsidP="009C789C">
      <w:pPr>
        <w:shd w:val="clear" w:color="auto" w:fill="FFFFFF"/>
        <w:spacing w:line="520" w:lineRule="atLeast"/>
        <w:ind w:firstLine="630"/>
        <w:outlineLvl w:val="0"/>
        <w:rPr>
          <w:rFonts w:ascii="仿宋_GB2312" w:eastAsia="仿宋_GB2312"/>
          <w:b/>
          <w:color w:val="393939"/>
          <w:sz w:val="32"/>
          <w:szCs w:val="32"/>
        </w:rPr>
      </w:pPr>
      <w:r w:rsidRPr="003979EC">
        <w:rPr>
          <w:rFonts w:ascii="仿宋_GB2312" w:eastAsia="仿宋_GB2312" w:hint="eastAsia"/>
          <w:b/>
          <w:color w:val="393939"/>
          <w:sz w:val="32"/>
          <w:szCs w:val="32"/>
        </w:rPr>
        <w:lastRenderedPageBreak/>
        <w:t>（四）财政拨款“三公”经费2017年决算情况</w:t>
      </w:r>
    </w:p>
    <w:p w:rsidR="00E77216" w:rsidRPr="00E77216" w:rsidRDefault="00E77216" w:rsidP="00E77216">
      <w:pPr>
        <w:pStyle w:val="a3"/>
        <w:shd w:val="clear" w:color="auto" w:fill="FFFFFF"/>
        <w:spacing w:before="0" w:beforeAutospacing="0" w:after="0" w:afterAutospacing="0" w:line="580" w:lineRule="atLeast"/>
        <w:ind w:firstLine="640"/>
        <w:rPr>
          <w:rFonts w:ascii="Tahoma" w:hAnsi="Tahoma" w:cs="Tahoma"/>
          <w:color w:val="333333"/>
          <w:sz w:val="20"/>
          <w:szCs w:val="20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2017年区财政局安排 “三公经费”260万元，其中2017年因公出国费0元，较2016年0万元，与上年持平；2017年公务接待费74万元，较</w:t>
      </w:r>
      <w:r w:rsidR="0001291C">
        <w:rPr>
          <w:rFonts w:ascii="仿宋" w:eastAsia="仿宋" w:hAnsi="仿宋" w:cs="Tahoma" w:hint="eastAsia"/>
          <w:color w:val="000000"/>
          <w:sz w:val="32"/>
          <w:szCs w:val="32"/>
        </w:rPr>
        <w:t>预算调整数74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万元</w:t>
      </w:r>
      <w:r w:rsidR="0001291C">
        <w:rPr>
          <w:rFonts w:ascii="仿宋" w:eastAsia="仿宋" w:hAnsi="仿宋" w:cs="Tahoma" w:hint="eastAsia"/>
          <w:color w:val="000000"/>
          <w:sz w:val="32"/>
          <w:szCs w:val="32"/>
        </w:rPr>
        <w:t>持平</w:t>
      </w:r>
      <w:bookmarkStart w:id="0" w:name="_GoBack"/>
      <w:bookmarkEnd w:id="0"/>
      <w:r>
        <w:rPr>
          <w:rFonts w:ascii="仿宋" w:eastAsia="仿宋" w:hAnsi="仿宋" w:cs="Tahoma" w:hint="eastAsia"/>
          <w:color w:val="000000"/>
          <w:sz w:val="32"/>
          <w:szCs w:val="32"/>
        </w:rPr>
        <w:t>；2017年公务车购置和运行维护费186万元（购置费0元，公务车运行费186万元），较2016年232万元，减少46万元</w:t>
      </w:r>
      <w:r>
        <w:rPr>
          <w:rFonts w:hint="eastAsia"/>
          <w:color w:val="000000"/>
          <w:sz w:val="32"/>
          <w:szCs w:val="32"/>
        </w:rPr>
        <w:t> 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。</w:t>
      </w:r>
    </w:p>
    <w:p w:rsidR="00E77216" w:rsidRDefault="00E77216" w:rsidP="003979EC">
      <w:pPr>
        <w:shd w:val="clear" w:color="auto" w:fill="FFFFFF"/>
        <w:spacing w:line="520" w:lineRule="atLeast"/>
        <w:ind w:firstLine="630"/>
        <w:outlineLvl w:val="0"/>
        <w:rPr>
          <w:rFonts w:ascii="仿宋_GB2312" w:eastAsia="仿宋_GB2312"/>
          <w:b/>
          <w:color w:val="393939"/>
          <w:sz w:val="32"/>
          <w:szCs w:val="32"/>
        </w:rPr>
      </w:pPr>
      <w:r>
        <w:rPr>
          <w:rFonts w:ascii="仿宋_GB2312" w:eastAsia="仿宋_GB2312" w:hint="eastAsia"/>
          <w:b/>
          <w:color w:val="393939"/>
          <w:sz w:val="32"/>
          <w:szCs w:val="32"/>
        </w:rPr>
        <w:t>（五）地方政府性债务情况</w:t>
      </w:r>
    </w:p>
    <w:p w:rsidR="00E77216" w:rsidRDefault="00E77216" w:rsidP="00E77216">
      <w:pPr>
        <w:shd w:val="clear" w:color="auto" w:fill="FFFFFF"/>
        <w:spacing w:line="520" w:lineRule="atLeast"/>
        <w:ind w:firstLine="630"/>
        <w:rPr>
          <w:rFonts w:ascii="仿宋_GB2312" w:eastAsia="仿宋_GB2312"/>
          <w:color w:val="393939"/>
          <w:sz w:val="32"/>
          <w:szCs w:val="32"/>
        </w:rPr>
      </w:pPr>
      <w:r>
        <w:rPr>
          <w:rFonts w:ascii="仿宋_GB2312" w:eastAsia="仿宋_GB2312" w:hint="eastAsia"/>
          <w:color w:val="393939"/>
          <w:sz w:val="32"/>
          <w:szCs w:val="32"/>
        </w:rPr>
        <w:t>2017年初政府债务余额为38330万元（一般债务28330万元，专项债务10000万元），本年没有新增债务，截止2017年底，我区政府性债务余额为</w:t>
      </w:r>
      <w:r>
        <w:rPr>
          <w:rFonts w:ascii="仿宋_GB2312" w:eastAsia="仿宋_GB2312" w:hint="eastAsia"/>
          <w:color w:val="000000"/>
          <w:sz w:val="32"/>
          <w:szCs w:val="32"/>
        </w:rPr>
        <w:t>38330万</w:t>
      </w:r>
      <w:r>
        <w:rPr>
          <w:rFonts w:ascii="仿宋_GB2312" w:eastAsia="仿宋_GB2312" w:hint="eastAsia"/>
          <w:color w:val="393939"/>
          <w:sz w:val="32"/>
          <w:szCs w:val="32"/>
        </w:rPr>
        <w:t>元（一般债务28330万元，专项债务10000万元），全部为政府负有偿还责任的债务余额。一般性债务主要用于道路建设、绿化等工程，专项债务主要用于棚户区改造工程。</w:t>
      </w:r>
    </w:p>
    <w:p w:rsidR="000B7FA0" w:rsidRPr="000B7FA0" w:rsidRDefault="000B7FA0" w:rsidP="009C789C">
      <w:pPr>
        <w:shd w:val="clear" w:color="auto" w:fill="FFFFFF"/>
        <w:spacing w:line="520" w:lineRule="atLeast"/>
        <w:ind w:firstLine="630"/>
        <w:outlineLvl w:val="0"/>
        <w:rPr>
          <w:rFonts w:ascii="仿宋_GB2312" w:eastAsia="仿宋_GB2312"/>
          <w:b/>
          <w:color w:val="393939"/>
          <w:sz w:val="32"/>
          <w:szCs w:val="32"/>
        </w:rPr>
      </w:pPr>
      <w:r w:rsidRPr="000B7FA0">
        <w:rPr>
          <w:rFonts w:ascii="仿宋_GB2312" w:eastAsia="仿宋_GB2312" w:hint="eastAsia"/>
          <w:b/>
          <w:color w:val="393939"/>
          <w:sz w:val="32"/>
          <w:szCs w:val="32"/>
        </w:rPr>
        <w:t>（六）</w:t>
      </w:r>
      <w:r w:rsidRPr="000B7FA0">
        <w:rPr>
          <w:rFonts w:ascii="仿宋_GB2312" w:eastAsia="仿宋_GB2312"/>
          <w:b/>
          <w:color w:val="393939"/>
          <w:sz w:val="32"/>
          <w:szCs w:val="32"/>
        </w:rPr>
        <w:t>政府采购情况</w:t>
      </w:r>
    </w:p>
    <w:p w:rsidR="00827012" w:rsidRPr="009C789C" w:rsidRDefault="003979EC" w:rsidP="009C789C">
      <w:pPr>
        <w:pStyle w:val="a3"/>
        <w:shd w:val="clear" w:color="auto" w:fill="FFFFFF"/>
        <w:spacing w:before="0" w:beforeAutospacing="0" w:after="0" w:afterAutospacing="0"/>
        <w:ind w:firstLine="600"/>
        <w:rPr>
          <w:rFonts w:ascii="Tahoma" w:hAnsi="Tahoma" w:cs="Tahoma"/>
          <w:color w:val="333333"/>
          <w:sz w:val="20"/>
          <w:szCs w:val="20"/>
        </w:rPr>
      </w:pPr>
      <w:r>
        <w:rPr>
          <w:rFonts w:ascii="仿宋_GB2312" w:eastAsia="仿宋_GB2312" w:hint="eastAsia"/>
          <w:color w:val="393939"/>
          <w:sz w:val="32"/>
          <w:szCs w:val="32"/>
        </w:rPr>
        <w:t>2017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年我区采购</w:t>
      </w:r>
      <w:r w:rsidR="000B7FA0" w:rsidRPr="003979EC">
        <w:rPr>
          <w:rFonts w:ascii="仿宋_GB2312" w:eastAsia="仿宋_GB2312" w:hAnsi="Times New Roman" w:cs="Times New Roman" w:hint="eastAsia"/>
          <w:color w:val="393939"/>
          <w:kern w:val="2"/>
          <w:sz w:val="32"/>
          <w:szCs w:val="32"/>
        </w:rPr>
        <w:t>决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算金额总计</w:t>
      </w:r>
      <w:r w:rsidR="00ED6C14" w:rsidRPr="003979EC">
        <w:rPr>
          <w:rFonts w:ascii="仿宋_GB2312" w:eastAsia="仿宋_GB2312" w:hAnsi="Times New Roman" w:cs="Times New Roman" w:hint="eastAsia"/>
          <w:color w:val="393939"/>
          <w:kern w:val="2"/>
          <w:sz w:val="32"/>
          <w:szCs w:val="32"/>
        </w:rPr>
        <w:t>2140.60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万元，其中：货物类金额为</w:t>
      </w:r>
      <w:r w:rsidR="00ED6C14" w:rsidRPr="003979EC">
        <w:rPr>
          <w:rFonts w:ascii="仿宋_GB2312" w:eastAsia="仿宋_GB2312" w:hAnsi="Times New Roman" w:cs="Times New Roman" w:hint="eastAsia"/>
          <w:color w:val="393939"/>
          <w:kern w:val="2"/>
          <w:sz w:val="32"/>
          <w:szCs w:val="32"/>
        </w:rPr>
        <w:t>330.35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万元，服务类金额为</w:t>
      </w:r>
      <w:r w:rsidR="00ED6C14" w:rsidRPr="003979EC">
        <w:rPr>
          <w:rFonts w:ascii="仿宋_GB2312" w:eastAsia="仿宋_GB2312" w:hAnsi="Times New Roman" w:cs="Times New Roman" w:hint="eastAsia"/>
          <w:color w:val="393939"/>
          <w:kern w:val="2"/>
          <w:sz w:val="32"/>
          <w:szCs w:val="32"/>
        </w:rPr>
        <w:t>451.94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万元，工程类金额为</w:t>
      </w:r>
      <w:r w:rsidR="00ED6C14" w:rsidRPr="003979EC">
        <w:rPr>
          <w:rFonts w:ascii="仿宋_GB2312" w:eastAsia="仿宋_GB2312" w:hAnsi="Times New Roman" w:cs="Times New Roman" w:hint="eastAsia"/>
          <w:color w:val="393939"/>
          <w:kern w:val="2"/>
          <w:sz w:val="32"/>
          <w:szCs w:val="32"/>
        </w:rPr>
        <w:t>1358.3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万元。201</w:t>
      </w:r>
      <w:r w:rsidR="000B7FA0" w:rsidRPr="003979EC">
        <w:rPr>
          <w:rFonts w:ascii="仿宋_GB2312" w:eastAsia="仿宋_GB2312" w:hAnsi="Times New Roman" w:cs="Times New Roman" w:hint="eastAsia"/>
          <w:color w:val="393939"/>
          <w:kern w:val="2"/>
          <w:sz w:val="32"/>
          <w:szCs w:val="32"/>
        </w:rPr>
        <w:t>7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年区级政府采购限额标准为：单项或批量采购预算金额达到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 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20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 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万元（不含）以下的，不需办理政府采购手续；货物和服务类公开招标限额标准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 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100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 </w:t>
      </w:r>
      <w:r w:rsidR="000B7FA0" w:rsidRPr="003979EC">
        <w:rPr>
          <w:rFonts w:ascii="仿宋_GB2312" w:eastAsia="仿宋_GB2312" w:hAnsi="Times New Roman" w:cs="Times New Roman"/>
          <w:color w:val="393939"/>
          <w:kern w:val="2"/>
          <w:sz w:val="32"/>
          <w:szCs w:val="32"/>
        </w:rPr>
        <w:t>万元。</w:t>
      </w:r>
    </w:p>
    <w:sectPr w:rsidR="00827012" w:rsidRPr="009C789C" w:rsidSect="0068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F9" w:rsidRDefault="006F48F9" w:rsidP="003979EC">
      <w:r>
        <w:separator/>
      </w:r>
    </w:p>
  </w:endnote>
  <w:endnote w:type="continuationSeparator" w:id="1">
    <w:p w:rsidR="006F48F9" w:rsidRDefault="006F48F9" w:rsidP="0039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F9" w:rsidRDefault="006F48F9" w:rsidP="003979EC">
      <w:r>
        <w:separator/>
      </w:r>
    </w:p>
  </w:footnote>
  <w:footnote w:type="continuationSeparator" w:id="1">
    <w:p w:rsidR="006F48F9" w:rsidRDefault="006F48F9" w:rsidP="0039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474"/>
    <w:multiLevelType w:val="hybridMultilevel"/>
    <w:tmpl w:val="E8825E62"/>
    <w:lvl w:ilvl="0" w:tplc="34AAE4D8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E96"/>
    <w:rsid w:val="0001291C"/>
    <w:rsid w:val="000B7FA0"/>
    <w:rsid w:val="001D1E96"/>
    <w:rsid w:val="00392022"/>
    <w:rsid w:val="003979EC"/>
    <w:rsid w:val="004726DE"/>
    <w:rsid w:val="00683DA9"/>
    <w:rsid w:val="006F48F9"/>
    <w:rsid w:val="00827012"/>
    <w:rsid w:val="009C789C"/>
    <w:rsid w:val="00BB50C7"/>
    <w:rsid w:val="00CF619B"/>
    <w:rsid w:val="00E77216"/>
    <w:rsid w:val="00ED6C14"/>
    <w:rsid w:val="00F8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2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0B7FA0"/>
    <w:pPr>
      <w:ind w:firstLineChars="200" w:firstLine="420"/>
    </w:pPr>
  </w:style>
  <w:style w:type="paragraph" w:styleId="a5">
    <w:name w:val="Document Map"/>
    <w:basedOn w:val="a"/>
    <w:link w:val="Char"/>
    <w:uiPriority w:val="99"/>
    <w:semiHidden/>
    <w:unhideWhenUsed/>
    <w:rsid w:val="003979EC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3979EC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97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979E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97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979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2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0B7F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</Words>
  <Characters>1304</Characters>
  <Application>Microsoft Office Word</Application>
  <DocSecurity>0</DocSecurity>
  <Lines>10</Lines>
  <Paragraphs>3</Paragraphs>
  <ScaleCrop>false</ScaleCrop>
  <Company>微软中国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8</cp:revision>
  <dcterms:created xsi:type="dcterms:W3CDTF">2019-01-25T02:10:00Z</dcterms:created>
  <dcterms:modified xsi:type="dcterms:W3CDTF">2019-01-25T08:05:00Z</dcterms:modified>
</cp:coreProperties>
</file>