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4</w:t>
      </w:r>
      <w:r>
        <w:rPr>
          <w:rFonts w:hint="eastAsia" w:eastAsiaTheme="minorEastAsia"/>
          <w:lang w:eastAsia="zh-CN"/>
        </w:rP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7</w:t>
      </w:r>
      <w:r>
        <w:rPr>
          <w:rFonts w:hint="eastAsia" w:eastAsiaTheme="minorEastAsia"/>
          <w:lang w:eastAsia="zh-CN"/>
        </w:rP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9</w:t>
      </w:r>
      <w:r>
        <w:rPr>
          <w:rFonts w:hint="eastAsia" w:eastAsiaTheme="minorEastAsia"/>
          <w:lang w:eastAsia="zh-CN"/>
        </w:rP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11</w:t>
      </w:r>
      <w:r>
        <w:rPr>
          <w:rFonts w:hint="eastAsia" w:eastAsiaTheme="minorEastAsia"/>
          <w:lang w:eastAsia="zh-CN"/>
        </w:rP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14</w:t>
      </w:r>
      <w:r>
        <w:rPr>
          <w:rFonts w:hint="eastAsia" w:eastAsiaTheme="minorEastAsia"/>
          <w:lang w:eastAsia="zh-CN"/>
        </w:rP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15</w:t>
      </w:r>
      <w:r>
        <w:rPr>
          <w:rFonts w:hint="eastAsia" w:eastAsiaTheme="minorEastAsia"/>
          <w:lang w:eastAsia="zh-CN"/>
        </w:rP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17</w:t>
      </w:r>
      <w:r>
        <w:rPr>
          <w:rFonts w:hint="eastAsia" w:eastAsiaTheme="minorEastAsia"/>
          <w:lang w:eastAsia="zh-CN"/>
        </w:rP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18</w:t>
      </w:r>
      <w:r>
        <w:rPr>
          <w:rFonts w:hint="eastAsia" w:eastAsiaTheme="minorEastAsia"/>
          <w:lang w:eastAsia="zh-CN"/>
        </w:rP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19</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eastAsiaTheme="minorEastAsia"/>
          <w:lang w:eastAsia="zh-CN"/>
        </w:rPr>
        <w:t>20</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eastAsiaTheme="minorEastAsia"/>
          <w:lang w:eastAsia="zh-CN"/>
        </w:rPr>
        <w:t>21</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21</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22</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rPr>
          <w:rFonts w:hint="eastAsia" w:eastAsiaTheme="minorEastAsia"/>
          <w:lang w:eastAsia="zh-CN"/>
        </w:rPr>
        <w:t>22</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24</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24</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25</w:t>
      </w:r>
      <w:r>
        <w:rPr>
          <w:rFonts w:hint="eastAsia" w:eastAsiaTheme="minorEastAsia"/>
          <w:lang w:eastAsia="zh-CN"/>
        </w:rP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26</w:t>
      </w:r>
      <w:r>
        <w:rPr>
          <w:rFonts w:hint="eastAsia" w:eastAsiaTheme="minorEastAsia"/>
          <w:lang w:eastAsia="zh-CN"/>
        </w:rPr>
        <w:fldChar w:fldCharType="end"/>
      </w:r>
    </w:p>
    <w:p>
      <w:pPr>
        <w:rPr>
          <w:rFonts w:ascii="方正楷体_GBK" w:hAnsi="方正楷体_GBK" w:cs="方正楷体_GBK"/>
          <w:b/>
          <w:color w:val="000000"/>
          <w:sz w:val="28"/>
        </w:rPr>
      </w:pPr>
      <w:r>
        <w:fldChar w:fldCharType="end"/>
      </w: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widowControl/>
        <w:jc w:val="left"/>
      </w:pPr>
      <w:r>
        <w:br w:type="page"/>
      </w:r>
    </w:p>
    <w:p>
      <w:pPr>
        <w:jc w:val="center"/>
        <w:outlineLvl w:val="3"/>
      </w:pPr>
    </w:p>
    <w:p>
      <w:pPr>
        <w:jc w:val="center"/>
        <w:outlineLvl w:val="3"/>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第一部分  部门预算</w:t>
      </w:r>
    </w:p>
    <w:p>
      <w:pPr>
        <w:jc w:val="center"/>
        <w:outlineLvl w:val="3"/>
        <w:rPr>
          <w:rFonts w:ascii="方正小标宋_GBK" w:hAnsi="方正小标宋_GBK" w:eastAsia="方正小标宋_GBK" w:cs="方正小标宋_GBK"/>
          <w:color w:val="000000"/>
          <w:sz w:val="72"/>
        </w:rPr>
      </w:pPr>
    </w:p>
    <w:p>
      <w:pPr>
        <w:jc w:val="center"/>
        <w:outlineLvl w:val="3"/>
        <w:rPr>
          <w:rFonts w:ascii="方正小标宋_GBK" w:hAnsi="方正小标宋_GBK" w:eastAsia="方正小标宋_GBK" w:cs="方正小标宋_GBK"/>
          <w:color w:val="000000"/>
          <w:sz w:val="72"/>
        </w:rPr>
      </w:pPr>
    </w:p>
    <w:p>
      <w:pPr>
        <w:jc w:val="center"/>
        <w:outlineLvl w:val="3"/>
        <w:rPr>
          <w:rFonts w:ascii="方正小标宋_GBK" w:hAnsi="方正小标宋_GBK" w:eastAsia="方正小标宋_GBK" w:cs="方正小标宋_GBK"/>
          <w:color w:val="000000"/>
          <w:sz w:val="72"/>
        </w:rPr>
      </w:pPr>
    </w:p>
    <w:p>
      <w:pPr>
        <w:jc w:val="center"/>
        <w:outlineLvl w:val="3"/>
        <w:rPr>
          <w:rFonts w:ascii="方正小标宋_GBK" w:hAnsi="方正小标宋_GBK" w:eastAsia="方正小标宋_GBK" w:cs="方正小标宋_GBK"/>
          <w:color w:val="000000"/>
          <w:sz w:val="72"/>
        </w:rPr>
      </w:pPr>
    </w:p>
    <w:p>
      <w:pPr>
        <w:jc w:val="center"/>
        <w:outlineLvl w:val="3"/>
        <w:rPr>
          <w:rFonts w:ascii="方正小标宋_GBK" w:hAnsi="方正小标宋_GBK" w:eastAsia="方正小标宋_GBK" w:cs="方正小标宋_GBK"/>
          <w:color w:val="000000"/>
          <w:sz w:val="72"/>
        </w:rPr>
      </w:pPr>
    </w:p>
    <w:p>
      <w:pPr>
        <w:jc w:val="center"/>
        <w:outlineLvl w:val="3"/>
        <w:rPr>
          <w:rFonts w:ascii="方正小标宋_GBK" w:hAnsi="方正小标宋_GBK" w:eastAsia="方正小标宋_GBK" w:cs="方正小标宋_GBK"/>
          <w:color w:val="000000"/>
          <w:sz w:val="72"/>
        </w:rPr>
      </w:pPr>
    </w:p>
    <w:p>
      <w:pPr>
        <w:jc w:val="center"/>
        <w:outlineLvl w:val="3"/>
        <w:rPr>
          <w:rFonts w:ascii="方正小标宋_GBK" w:hAnsi="方正小标宋_GBK" w:eastAsia="方正小标宋_GBK" w:cs="方正小标宋_GBK"/>
          <w:color w:val="000000"/>
          <w:sz w:val="72"/>
        </w:rPr>
      </w:pPr>
    </w:p>
    <w:p>
      <w:pPr>
        <w:jc w:val="center"/>
        <w:outlineLvl w:val="3"/>
      </w:pPr>
    </w:p>
    <w:p>
      <w:pPr>
        <w:jc w:val="center"/>
        <w:outlineLvl w:val="3"/>
      </w:pPr>
      <w:r>
        <w:rPr>
          <w:rFonts w:ascii="方正小标宋_GBK" w:hAnsi="方正小标宋_GBK" w:eastAsia="方正小标宋_GBK" w:cs="方正小标宋_GBK"/>
          <w:color w:val="000000"/>
          <w:sz w:val="44"/>
        </w:rPr>
        <w:t>河北唐山芦台经济开发区动物卫生监督所收支预算</w:t>
      </w:r>
    </w:p>
    <w:p>
      <w:pPr>
        <w:jc w:val="center"/>
        <w:outlineLvl w:val="0"/>
      </w:pPr>
      <w:r>
        <w:rPr>
          <w:rFonts w:ascii="方正小标宋_GBK" w:hAnsi="方正小标宋_GBK" w:eastAsia="方正小标宋_GBK" w:cs="方正小标宋_GBK"/>
          <w:color w:val="000000"/>
          <w:sz w:val="36"/>
        </w:rPr>
        <w:t>部门预算收支总表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149.55</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11.83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r>
              <w:t>122.38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11.02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pPr>
            <w:r>
              <w:t>149.55</w:t>
            </w:r>
          </w:p>
        </w:tc>
        <w:tc>
          <w:tcPr>
            <w:tcW w:w="4535" w:type="dxa"/>
            <w:vAlign w:val="center"/>
          </w:tcPr>
          <w:p>
            <w:pPr>
              <w:pStyle w:val="14"/>
            </w:pPr>
            <w:r>
              <w:t>本年支出合计</w:t>
            </w:r>
          </w:p>
        </w:tc>
        <w:tc>
          <w:tcPr>
            <w:tcW w:w="2126" w:type="dxa"/>
            <w:vAlign w:val="center"/>
          </w:tcPr>
          <w:p>
            <w:pPr>
              <w:pStyle w:val="15"/>
            </w:pPr>
            <w:r>
              <w:t>149.55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pPr>
            <w:r>
              <w:t>149.55</w:t>
            </w:r>
          </w:p>
        </w:tc>
        <w:tc>
          <w:tcPr>
            <w:tcW w:w="4535" w:type="dxa"/>
            <w:vAlign w:val="center"/>
          </w:tcPr>
          <w:p>
            <w:pPr>
              <w:pStyle w:val="14"/>
            </w:pPr>
            <w:r>
              <w:t>支出总计</w:t>
            </w:r>
          </w:p>
        </w:tc>
        <w:tc>
          <w:tcPr>
            <w:tcW w:w="2126" w:type="dxa"/>
            <w:vAlign w:val="center"/>
          </w:tcPr>
          <w:p>
            <w:pPr>
              <w:pStyle w:val="15"/>
            </w:pPr>
            <w:r>
              <w:t>149.55</w:t>
            </w:r>
          </w:p>
        </w:tc>
      </w:tr>
    </w:tbl>
    <w:p>
      <w:pPr>
        <w:sectPr>
          <w:footerReference r:id="rId3" w:type="default"/>
          <w:pgSz w:w="16840" w:h="11900" w:orient="landscape"/>
          <w:pgMar w:top="1361" w:right="1020" w:bottom="1134" w:left="1020" w:header="720" w:footer="720" w:gutter="0"/>
          <w:cols w:space="720" w:num="1"/>
        </w:sectPr>
      </w:pPr>
    </w:p>
    <w:p>
      <w:pPr>
        <w:jc w:val="center"/>
        <w:outlineLvl w:val="0"/>
      </w:pPr>
      <w:r>
        <w:rPr>
          <w:rFonts w:ascii="方正小标宋_GBK" w:hAnsi="方正小标宋_GBK" w:eastAsia="方正小标宋_GBK" w:cs="方正小标宋_GBK"/>
          <w:color w:val="000000"/>
          <w:sz w:val="36"/>
        </w:rPr>
        <w:t>部门预算收入总表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149.55</w:t>
            </w:r>
          </w:p>
        </w:tc>
        <w:tc>
          <w:tcPr>
            <w:tcW w:w="1134" w:type="dxa"/>
            <w:vAlign w:val="center"/>
          </w:tcPr>
          <w:p>
            <w:pPr>
              <w:pStyle w:val="15"/>
            </w:pPr>
            <w:r>
              <w:t>149.55</w:t>
            </w:r>
          </w:p>
        </w:tc>
        <w:tc>
          <w:tcPr>
            <w:tcW w:w="1134" w:type="dxa"/>
            <w:vAlign w:val="center"/>
          </w:tcPr>
          <w:p>
            <w:pPr>
              <w:pStyle w:val="15"/>
            </w:pPr>
            <w:r>
              <w:t>149.55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2080599</w:t>
            </w:r>
          </w:p>
        </w:tc>
        <w:tc>
          <w:tcPr>
            <w:tcW w:w="1559" w:type="dxa"/>
            <w:vAlign w:val="center"/>
          </w:tcPr>
          <w:p>
            <w:pPr>
              <w:pStyle w:val="12"/>
            </w:pPr>
            <w:r>
              <w:t>其他行政事业单位养老支出</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r>
              <w:t>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r>
              <w:t>11.83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3"/>
            </w:pPr>
            <w:r>
              <w:t>4.94</w:t>
            </w:r>
          </w:p>
        </w:tc>
        <w:tc>
          <w:tcPr>
            <w:tcW w:w="1134" w:type="dxa"/>
            <w:vAlign w:val="center"/>
          </w:tcPr>
          <w:p>
            <w:pPr>
              <w:pStyle w:val="13"/>
            </w:pPr>
            <w:r>
              <w:t>4.94</w:t>
            </w:r>
          </w:p>
        </w:tc>
        <w:tc>
          <w:tcPr>
            <w:tcW w:w="1134" w:type="dxa"/>
            <w:vAlign w:val="center"/>
          </w:tcPr>
          <w:p>
            <w:pPr>
              <w:pStyle w:val="13"/>
            </w:pPr>
            <w:r>
              <w:t>4.94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r>
              <w:t>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r>
              <w:t>122.38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r>
              <w:t>11.02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0"/>
      </w:pPr>
      <w:r>
        <w:rPr>
          <w:rFonts w:ascii="方正小标宋_GBK" w:hAnsi="方正小标宋_GBK" w:eastAsia="方正小标宋_GBK" w:cs="方正小标宋_GBK"/>
          <w:color w:val="000000"/>
          <w:sz w:val="36"/>
        </w:rPr>
        <w:t>部门预算支出总表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149.55</w:t>
            </w:r>
          </w:p>
        </w:tc>
        <w:tc>
          <w:tcPr>
            <w:tcW w:w="1361" w:type="dxa"/>
            <w:vAlign w:val="center"/>
          </w:tcPr>
          <w:p>
            <w:pPr>
              <w:pStyle w:val="15"/>
            </w:pPr>
            <w:r>
              <w:t>149.55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4.32</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4.32</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2080599</w:t>
            </w:r>
          </w:p>
        </w:tc>
        <w:tc>
          <w:tcPr>
            <w:tcW w:w="4535" w:type="dxa"/>
            <w:vAlign w:val="center"/>
          </w:tcPr>
          <w:p>
            <w:pPr>
              <w:pStyle w:val="12"/>
            </w:pPr>
            <w:r>
              <w:t>其他行政事业单位养老支出</w:t>
            </w:r>
          </w:p>
        </w:tc>
        <w:tc>
          <w:tcPr>
            <w:tcW w:w="1361" w:type="dxa"/>
            <w:vAlign w:val="center"/>
          </w:tcPr>
          <w:p>
            <w:pPr>
              <w:pStyle w:val="13"/>
            </w:pPr>
            <w:r>
              <w:t>4.32</w:t>
            </w:r>
          </w:p>
        </w:tc>
        <w:tc>
          <w:tcPr>
            <w:tcW w:w="1361" w:type="dxa"/>
            <w:vAlign w:val="center"/>
          </w:tcPr>
          <w:p>
            <w:pPr>
              <w:pStyle w:val="13"/>
            </w:pPr>
            <w:r>
              <w:t>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11.83</w:t>
            </w:r>
          </w:p>
        </w:tc>
        <w:tc>
          <w:tcPr>
            <w:tcW w:w="1361" w:type="dxa"/>
            <w:vAlign w:val="center"/>
          </w:tcPr>
          <w:p>
            <w:pPr>
              <w:pStyle w:val="13"/>
            </w:pPr>
            <w:r>
              <w:t>11.83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11.83</w:t>
            </w:r>
          </w:p>
        </w:tc>
        <w:tc>
          <w:tcPr>
            <w:tcW w:w="1361" w:type="dxa"/>
            <w:vAlign w:val="center"/>
          </w:tcPr>
          <w:p>
            <w:pPr>
              <w:pStyle w:val="13"/>
            </w:pPr>
            <w:r>
              <w:t>11.83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3"/>
            </w:pPr>
            <w:r>
              <w:t>4.94</w:t>
            </w:r>
          </w:p>
        </w:tc>
        <w:tc>
          <w:tcPr>
            <w:tcW w:w="1361" w:type="dxa"/>
            <w:vAlign w:val="center"/>
          </w:tcPr>
          <w:p>
            <w:pPr>
              <w:pStyle w:val="13"/>
            </w:pPr>
            <w:r>
              <w:t>4.94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3"/>
            </w:pPr>
            <w:r>
              <w:t>6.89</w:t>
            </w:r>
          </w:p>
        </w:tc>
        <w:tc>
          <w:tcPr>
            <w:tcW w:w="1361" w:type="dxa"/>
            <w:vAlign w:val="center"/>
          </w:tcPr>
          <w:p>
            <w:pPr>
              <w:pStyle w:val="13"/>
            </w:pPr>
            <w:r>
              <w:t>6.89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3"/>
            </w:pPr>
            <w:r>
              <w:t>122.38</w:t>
            </w:r>
          </w:p>
        </w:tc>
        <w:tc>
          <w:tcPr>
            <w:tcW w:w="1361" w:type="dxa"/>
            <w:vAlign w:val="center"/>
          </w:tcPr>
          <w:p>
            <w:pPr>
              <w:pStyle w:val="13"/>
            </w:pPr>
            <w:r>
              <w:t>122.38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3"/>
            </w:pPr>
            <w:r>
              <w:t>122.38</w:t>
            </w:r>
          </w:p>
        </w:tc>
        <w:tc>
          <w:tcPr>
            <w:tcW w:w="1361" w:type="dxa"/>
            <w:vAlign w:val="center"/>
          </w:tcPr>
          <w:p>
            <w:pPr>
              <w:pStyle w:val="13"/>
            </w:pPr>
            <w:r>
              <w:t>122.38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3"/>
            </w:pPr>
            <w:r>
              <w:t>122.38</w:t>
            </w:r>
          </w:p>
        </w:tc>
        <w:tc>
          <w:tcPr>
            <w:tcW w:w="1361" w:type="dxa"/>
            <w:vAlign w:val="center"/>
          </w:tcPr>
          <w:p>
            <w:pPr>
              <w:pStyle w:val="13"/>
            </w:pPr>
            <w:r>
              <w:t>122.38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11.02</w:t>
            </w:r>
          </w:p>
        </w:tc>
        <w:tc>
          <w:tcPr>
            <w:tcW w:w="1361" w:type="dxa"/>
            <w:vAlign w:val="center"/>
          </w:tcPr>
          <w:p>
            <w:pPr>
              <w:pStyle w:val="13"/>
            </w:pPr>
            <w:r>
              <w:t>11.02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11.02</w:t>
            </w:r>
          </w:p>
        </w:tc>
        <w:tc>
          <w:tcPr>
            <w:tcW w:w="1361" w:type="dxa"/>
            <w:vAlign w:val="center"/>
          </w:tcPr>
          <w:p>
            <w:pPr>
              <w:pStyle w:val="13"/>
            </w:pPr>
            <w:r>
              <w:t>11.02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11.02</w:t>
            </w:r>
          </w:p>
        </w:tc>
        <w:tc>
          <w:tcPr>
            <w:tcW w:w="1361" w:type="dxa"/>
            <w:vAlign w:val="center"/>
          </w:tcPr>
          <w:p>
            <w:pPr>
              <w:pStyle w:val="13"/>
            </w:pPr>
            <w:r>
              <w:t>11.02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0"/>
      </w:pPr>
      <w:r>
        <w:rPr>
          <w:rFonts w:ascii="方正小标宋_GBK" w:hAnsi="方正小标宋_GBK" w:eastAsia="方正小标宋_GBK" w:cs="方正小标宋_GBK"/>
          <w:color w:val="000000"/>
          <w:sz w:val="36"/>
        </w:rPr>
        <w:t>部门预算财政拨款收支总表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149.55</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4.32</w:t>
            </w:r>
          </w:p>
        </w:tc>
        <w:tc>
          <w:tcPr>
            <w:tcW w:w="1474" w:type="dxa"/>
            <w:vAlign w:val="center"/>
          </w:tcPr>
          <w:p>
            <w:pPr>
              <w:pStyle w:val="13"/>
            </w:pPr>
            <w:r>
              <w:t>4.32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11.83</w:t>
            </w:r>
          </w:p>
        </w:tc>
        <w:tc>
          <w:tcPr>
            <w:tcW w:w="1474" w:type="dxa"/>
            <w:vAlign w:val="center"/>
          </w:tcPr>
          <w:p>
            <w:pPr>
              <w:pStyle w:val="13"/>
            </w:pPr>
            <w:r>
              <w:t>11.83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r>
              <w:t>122.38</w:t>
            </w:r>
          </w:p>
        </w:tc>
        <w:tc>
          <w:tcPr>
            <w:tcW w:w="1474" w:type="dxa"/>
            <w:vAlign w:val="center"/>
          </w:tcPr>
          <w:p>
            <w:pPr>
              <w:pStyle w:val="13"/>
            </w:pPr>
            <w:r>
              <w:t>122.38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11.02</w:t>
            </w:r>
          </w:p>
        </w:tc>
        <w:tc>
          <w:tcPr>
            <w:tcW w:w="1474" w:type="dxa"/>
            <w:vAlign w:val="center"/>
          </w:tcPr>
          <w:p>
            <w:pPr>
              <w:pStyle w:val="13"/>
            </w:pPr>
            <w:r>
              <w:t>11.02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4"/>
            </w:pPr>
            <w:r>
              <w:t>本年收入合计</w:t>
            </w:r>
          </w:p>
        </w:tc>
        <w:tc>
          <w:tcPr>
            <w:tcW w:w="1474" w:type="dxa"/>
            <w:vAlign w:val="center"/>
          </w:tcPr>
          <w:p>
            <w:pPr>
              <w:pStyle w:val="15"/>
            </w:pPr>
            <w:r>
              <w:t>149.55</w:t>
            </w:r>
          </w:p>
        </w:tc>
        <w:tc>
          <w:tcPr>
            <w:tcW w:w="3402" w:type="dxa"/>
            <w:vAlign w:val="center"/>
          </w:tcPr>
          <w:p>
            <w:pPr>
              <w:pStyle w:val="14"/>
            </w:pPr>
            <w:r>
              <w:t>本年支出合计</w:t>
            </w:r>
          </w:p>
        </w:tc>
        <w:tc>
          <w:tcPr>
            <w:tcW w:w="1474" w:type="dxa"/>
            <w:vAlign w:val="center"/>
          </w:tcPr>
          <w:p>
            <w:pPr>
              <w:pStyle w:val="15"/>
            </w:pPr>
            <w:r>
              <w:t>149.55</w:t>
            </w:r>
          </w:p>
        </w:tc>
        <w:tc>
          <w:tcPr>
            <w:tcW w:w="1474" w:type="dxa"/>
            <w:vAlign w:val="center"/>
          </w:tcPr>
          <w:p>
            <w:pPr>
              <w:pStyle w:val="15"/>
            </w:pPr>
            <w:r>
              <w:t>149.55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4"/>
            </w:pPr>
            <w:r>
              <w:t>收入总计</w:t>
            </w:r>
          </w:p>
        </w:tc>
        <w:tc>
          <w:tcPr>
            <w:tcW w:w="1474" w:type="dxa"/>
            <w:vAlign w:val="center"/>
          </w:tcPr>
          <w:p>
            <w:pPr>
              <w:pStyle w:val="15"/>
            </w:pPr>
            <w:r>
              <w:t>149.55</w:t>
            </w:r>
          </w:p>
        </w:tc>
        <w:tc>
          <w:tcPr>
            <w:tcW w:w="3402" w:type="dxa"/>
            <w:vAlign w:val="center"/>
          </w:tcPr>
          <w:p>
            <w:pPr>
              <w:pStyle w:val="14"/>
            </w:pPr>
            <w:r>
              <w:t>支出总计</w:t>
            </w:r>
          </w:p>
        </w:tc>
        <w:tc>
          <w:tcPr>
            <w:tcW w:w="1474" w:type="dxa"/>
            <w:vAlign w:val="center"/>
          </w:tcPr>
          <w:p>
            <w:pPr>
              <w:pStyle w:val="15"/>
            </w:pPr>
            <w:r>
              <w:t>149.55</w:t>
            </w:r>
          </w:p>
        </w:tc>
        <w:tc>
          <w:tcPr>
            <w:tcW w:w="1474" w:type="dxa"/>
            <w:vAlign w:val="center"/>
          </w:tcPr>
          <w:p>
            <w:pPr>
              <w:pStyle w:val="15"/>
            </w:pPr>
            <w:r>
              <w:t>149.55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0"/>
      </w:pPr>
      <w:r>
        <w:rPr>
          <w:rFonts w:ascii="方正小标宋_GBK" w:hAnsi="方正小标宋_GBK" w:eastAsia="方正小标宋_GBK" w:cs="方正小标宋_GBK"/>
          <w:color w:val="000000"/>
          <w:sz w:val="36"/>
        </w:rPr>
        <w:t>部门预算一般公共预算财政拨款支出表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149.55</w:t>
            </w:r>
          </w:p>
        </w:tc>
        <w:tc>
          <w:tcPr>
            <w:tcW w:w="2551" w:type="dxa"/>
            <w:vAlign w:val="center"/>
          </w:tcPr>
          <w:p>
            <w:pPr>
              <w:pStyle w:val="15"/>
            </w:pPr>
            <w:r>
              <w:t>149.55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4.32</w:t>
            </w:r>
          </w:p>
        </w:tc>
        <w:tc>
          <w:tcPr>
            <w:tcW w:w="2551" w:type="dxa"/>
            <w:vAlign w:val="center"/>
          </w:tcPr>
          <w:p>
            <w:pPr>
              <w:pStyle w:val="13"/>
            </w:pPr>
            <w:r>
              <w:t>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4.32</w:t>
            </w:r>
          </w:p>
        </w:tc>
        <w:tc>
          <w:tcPr>
            <w:tcW w:w="2551" w:type="dxa"/>
            <w:vAlign w:val="center"/>
          </w:tcPr>
          <w:p>
            <w:pPr>
              <w:pStyle w:val="13"/>
            </w:pPr>
            <w:r>
              <w:t>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2080599</w:t>
            </w:r>
          </w:p>
        </w:tc>
        <w:tc>
          <w:tcPr>
            <w:tcW w:w="4535" w:type="dxa"/>
            <w:vAlign w:val="center"/>
          </w:tcPr>
          <w:p>
            <w:pPr>
              <w:pStyle w:val="12"/>
            </w:pPr>
            <w:r>
              <w:t>其他行政事业单位养老支出</w:t>
            </w:r>
          </w:p>
        </w:tc>
        <w:tc>
          <w:tcPr>
            <w:tcW w:w="2551" w:type="dxa"/>
            <w:vAlign w:val="center"/>
          </w:tcPr>
          <w:p>
            <w:pPr>
              <w:pStyle w:val="13"/>
            </w:pPr>
            <w:r>
              <w:t>4.32</w:t>
            </w:r>
          </w:p>
        </w:tc>
        <w:tc>
          <w:tcPr>
            <w:tcW w:w="2551" w:type="dxa"/>
            <w:vAlign w:val="center"/>
          </w:tcPr>
          <w:p>
            <w:pPr>
              <w:pStyle w:val="13"/>
            </w:pPr>
            <w:r>
              <w:t>4.32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11.83</w:t>
            </w:r>
          </w:p>
        </w:tc>
        <w:tc>
          <w:tcPr>
            <w:tcW w:w="2551" w:type="dxa"/>
            <w:vAlign w:val="center"/>
          </w:tcPr>
          <w:p>
            <w:pPr>
              <w:pStyle w:val="13"/>
            </w:pPr>
            <w:r>
              <w:t>11.83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3"/>
            </w:pPr>
            <w:r>
              <w:t>11.83</w:t>
            </w:r>
          </w:p>
        </w:tc>
        <w:tc>
          <w:tcPr>
            <w:tcW w:w="2551" w:type="dxa"/>
            <w:vAlign w:val="center"/>
          </w:tcPr>
          <w:p>
            <w:pPr>
              <w:pStyle w:val="13"/>
            </w:pPr>
            <w:r>
              <w:t>11.83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3"/>
            </w:pPr>
            <w:r>
              <w:t>4.94</w:t>
            </w:r>
          </w:p>
        </w:tc>
        <w:tc>
          <w:tcPr>
            <w:tcW w:w="2551" w:type="dxa"/>
            <w:vAlign w:val="center"/>
          </w:tcPr>
          <w:p>
            <w:pPr>
              <w:pStyle w:val="13"/>
            </w:pPr>
            <w:r>
              <w:t>4.94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3"/>
            </w:pPr>
            <w:r>
              <w:t>6.89</w:t>
            </w:r>
          </w:p>
        </w:tc>
        <w:tc>
          <w:tcPr>
            <w:tcW w:w="2551" w:type="dxa"/>
            <w:vAlign w:val="center"/>
          </w:tcPr>
          <w:p>
            <w:pPr>
              <w:pStyle w:val="13"/>
            </w:pPr>
            <w:r>
              <w:t>6.89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3"/>
            </w:pPr>
            <w:r>
              <w:t>122.38</w:t>
            </w:r>
          </w:p>
        </w:tc>
        <w:tc>
          <w:tcPr>
            <w:tcW w:w="2551" w:type="dxa"/>
            <w:vAlign w:val="center"/>
          </w:tcPr>
          <w:p>
            <w:pPr>
              <w:pStyle w:val="13"/>
            </w:pPr>
            <w:r>
              <w:t>122.38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3"/>
            </w:pPr>
            <w:r>
              <w:t>122.38</w:t>
            </w:r>
          </w:p>
        </w:tc>
        <w:tc>
          <w:tcPr>
            <w:tcW w:w="2551" w:type="dxa"/>
            <w:vAlign w:val="center"/>
          </w:tcPr>
          <w:p>
            <w:pPr>
              <w:pStyle w:val="13"/>
            </w:pPr>
            <w:r>
              <w:t>122.38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3"/>
            </w:pPr>
            <w:r>
              <w:t>122.38</w:t>
            </w:r>
          </w:p>
        </w:tc>
        <w:tc>
          <w:tcPr>
            <w:tcW w:w="2551" w:type="dxa"/>
            <w:vAlign w:val="center"/>
          </w:tcPr>
          <w:p>
            <w:pPr>
              <w:pStyle w:val="13"/>
            </w:pPr>
            <w:r>
              <w:t>122.38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0"/>
      </w:pPr>
      <w:r>
        <w:rPr>
          <w:rFonts w:ascii="方正小标宋_GBK" w:hAnsi="方正小标宋_GBK" w:eastAsia="方正小标宋_GBK" w:cs="方正小标宋_GBK"/>
          <w:color w:val="000000"/>
          <w:sz w:val="36"/>
        </w:rPr>
        <w:t>部门预算一般公共预算财政拨款基本支出表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149.55</w:t>
            </w:r>
          </w:p>
        </w:tc>
        <w:tc>
          <w:tcPr>
            <w:tcW w:w="2551" w:type="dxa"/>
            <w:vAlign w:val="center"/>
          </w:tcPr>
          <w:p>
            <w:pPr>
              <w:pStyle w:val="15"/>
            </w:pPr>
            <w:r>
              <w:t>139.72</w:t>
            </w:r>
          </w:p>
        </w:tc>
        <w:tc>
          <w:tcPr>
            <w:tcW w:w="2551" w:type="dxa"/>
            <w:vAlign w:val="center"/>
          </w:tcPr>
          <w:p>
            <w:pPr>
              <w:pStyle w:val="15"/>
            </w:pPr>
            <w:r>
              <w:t>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131.77</w:t>
            </w:r>
          </w:p>
        </w:tc>
        <w:tc>
          <w:tcPr>
            <w:tcW w:w="2551" w:type="dxa"/>
            <w:vAlign w:val="center"/>
          </w:tcPr>
          <w:p>
            <w:pPr>
              <w:pStyle w:val="13"/>
            </w:pPr>
            <w:r>
              <w:t>131.77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37.93</w:t>
            </w:r>
          </w:p>
        </w:tc>
        <w:tc>
          <w:tcPr>
            <w:tcW w:w="2551" w:type="dxa"/>
            <w:vAlign w:val="center"/>
          </w:tcPr>
          <w:p>
            <w:pPr>
              <w:pStyle w:val="13"/>
            </w:pPr>
            <w:r>
              <w:t>37.93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7.29</w:t>
            </w:r>
          </w:p>
        </w:tc>
        <w:tc>
          <w:tcPr>
            <w:tcW w:w="2551" w:type="dxa"/>
            <w:vAlign w:val="center"/>
          </w:tcPr>
          <w:p>
            <w:pPr>
              <w:pStyle w:val="13"/>
            </w:pPr>
            <w:r>
              <w:t>7.29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11.52</w:t>
            </w:r>
          </w:p>
        </w:tc>
        <w:tc>
          <w:tcPr>
            <w:tcW w:w="2551" w:type="dxa"/>
            <w:vAlign w:val="center"/>
          </w:tcPr>
          <w:p>
            <w:pPr>
              <w:pStyle w:val="13"/>
            </w:pPr>
            <w:r>
              <w:t>11.52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30.14</w:t>
            </w:r>
          </w:p>
        </w:tc>
        <w:tc>
          <w:tcPr>
            <w:tcW w:w="2551" w:type="dxa"/>
            <w:vAlign w:val="center"/>
          </w:tcPr>
          <w:p>
            <w:pPr>
              <w:pStyle w:val="13"/>
            </w:pPr>
            <w:r>
              <w:t>30.14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11.46</w:t>
            </w:r>
          </w:p>
        </w:tc>
        <w:tc>
          <w:tcPr>
            <w:tcW w:w="2551" w:type="dxa"/>
            <w:vAlign w:val="center"/>
          </w:tcPr>
          <w:p>
            <w:pPr>
              <w:pStyle w:val="13"/>
            </w:pPr>
            <w:r>
              <w:t>11.46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5.73</w:t>
            </w:r>
          </w:p>
        </w:tc>
        <w:tc>
          <w:tcPr>
            <w:tcW w:w="2551" w:type="dxa"/>
            <w:vAlign w:val="center"/>
          </w:tcPr>
          <w:p>
            <w:pPr>
              <w:pStyle w:val="13"/>
            </w:pPr>
            <w:r>
              <w:t>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4.94</w:t>
            </w:r>
          </w:p>
        </w:tc>
        <w:tc>
          <w:tcPr>
            <w:tcW w:w="2551" w:type="dxa"/>
            <w:vAlign w:val="center"/>
          </w:tcPr>
          <w:p>
            <w:pPr>
              <w:pStyle w:val="13"/>
            </w:pPr>
            <w:r>
              <w:t>4.94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3"/>
            </w:pPr>
            <w:r>
              <w:t>5.45</w:t>
            </w:r>
          </w:p>
        </w:tc>
        <w:tc>
          <w:tcPr>
            <w:tcW w:w="2551" w:type="dxa"/>
            <w:vAlign w:val="center"/>
          </w:tcPr>
          <w:p>
            <w:pPr>
              <w:pStyle w:val="13"/>
            </w:pPr>
            <w:r>
              <w:t>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0.86</w:t>
            </w:r>
          </w:p>
        </w:tc>
        <w:tc>
          <w:tcPr>
            <w:tcW w:w="2551" w:type="dxa"/>
            <w:vAlign w:val="center"/>
          </w:tcPr>
          <w:p>
            <w:pPr>
              <w:pStyle w:val="13"/>
            </w:pPr>
            <w:r>
              <w:t>0.86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11.02</w:t>
            </w:r>
          </w:p>
        </w:tc>
        <w:tc>
          <w:tcPr>
            <w:tcW w:w="2551" w:type="dxa"/>
            <w:vAlign w:val="center"/>
          </w:tcPr>
          <w:p>
            <w:pPr>
              <w:pStyle w:val="13"/>
            </w:pPr>
            <w:r>
              <w:t>11.02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5.43</w:t>
            </w:r>
          </w:p>
        </w:tc>
        <w:tc>
          <w:tcPr>
            <w:tcW w:w="2551" w:type="dxa"/>
            <w:vAlign w:val="center"/>
          </w:tcPr>
          <w:p>
            <w:pPr>
              <w:pStyle w:val="13"/>
            </w:pPr>
            <w:r>
              <w:t>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9.83</w:t>
            </w:r>
          </w:p>
        </w:tc>
        <w:tc>
          <w:tcPr>
            <w:tcW w:w="2551" w:type="dxa"/>
            <w:vAlign w:val="center"/>
          </w:tcPr>
          <w:p>
            <w:pPr>
              <w:pStyle w:val="13"/>
            </w:pPr>
          </w:p>
        </w:tc>
        <w:tc>
          <w:tcPr>
            <w:tcW w:w="2551" w:type="dxa"/>
            <w:vAlign w:val="center"/>
          </w:tcPr>
          <w:p>
            <w:pPr>
              <w:pStyle w:val="13"/>
            </w:pPr>
            <w:r>
              <w:t>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0.32</w:t>
            </w:r>
          </w:p>
        </w:tc>
        <w:tc>
          <w:tcPr>
            <w:tcW w:w="2551" w:type="dxa"/>
            <w:vAlign w:val="center"/>
          </w:tcPr>
          <w:p>
            <w:pPr>
              <w:pStyle w:val="13"/>
            </w:pPr>
          </w:p>
        </w:tc>
        <w:tc>
          <w:tcPr>
            <w:tcW w:w="2551"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0.82</w:t>
            </w:r>
          </w:p>
        </w:tc>
        <w:tc>
          <w:tcPr>
            <w:tcW w:w="2551" w:type="dxa"/>
            <w:vAlign w:val="center"/>
          </w:tcPr>
          <w:p>
            <w:pPr>
              <w:pStyle w:val="13"/>
            </w:pPr>
          </w:p>
        </w:tc>
        <w:tc>
          <w:tcPr>
            <w:tcW w:w="2551" w:type="dxa"/>
            <w:vAlign w:val="center"/>
          </w:tcPr>
          <w:p>
            <w:pPr>
              <w:pStyle w:val="13"/>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3"/>
            </w:pPr>
            <w:r>
              <w:t>0.85</w:t>
            </w:r>
          </w:p>
        </w:tc>
        <w:tc>
          <w:tcPr>
            <w:tcW w:w="2551" w:type="dxa"/>
            <w:vAlign w:val="center"/>
          </w:tcPr>
          <w:p>
            <w:pPr>
              <w:pStyle w:val="13"/>
            </w:pPr>
          </w:p>
        </w:tc>
        <w:tc>
          <w:tcPr>
            <w:tcW w:w="2551"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3"/>
            </w:pPr>
            <w:r>
              <w:t>1.36</w:t>
            </w:r>
          </w:p>
        </w:tc>
        <w:tc>
          <w:tcPr>
            <w:tcW w:w="2551" w:type="dxa"/>
            <w:vAlign w:val="center"/>
          </w:tcPr>
          <w:p>
            <w:pPr>
              <w:pStyle w:val="13"/>
            </w:pPr>
          </w:p>
        </w:tc>
        <w:tc>
          <w:tcPr>
            <w:tcW w:w="2551" w:type="dxa"/>
            <w:vAlign w:val="center"/>
          </w:tcPr>
          <w:p>
            <w:pPr>
              <w:pStyle w:val="13"/>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pPr>
            <w:r>
              <w:t>3.15</w:t>
            </w:r>
          </w:p>
        </w:tc>
        <w:tc>
          <w:tcPr>
            <w:tcW w:w="2551" w:type="dxa"/>
            <w:vAlign w:val="center"/>
          </w:tcPr>
          <w:p>
            <w:pPr>
              <w:pStyle w:val="13"/>
            </w:pPr>
          </w:p>
        </w:tc>
        <w:tc>
          <w:tcPr>
            <w:tcW w:w="2551" w:type="dxa"/>
            <w:vAlign w:val="center"/>
          </w:tcPr>
          <w:p>
            <w:pPr>
              <w:pStyle w:val="13"/>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7.95</w:t>
            </w:r>
          </w:p>
        </w:tc>
        <w:tc>
          <w:tcPr>
            <w:tcW w:w="2551" w:type="dxa"/>
            <w:vAlign w:val="center"/>
          </w:tcPr>
          <w:p>
            <w:pPr>
              <w:pStyle w:val="13"/>
            </w:pPr>
            <w:r>
              <w:t>7.95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3"/>
            </w:pPr>
            <w:r>
              <w:t>1.44</w:t>
            </w:r>
          </w:p>
        </w:tc>
        <w:tc>
          <w:tcPr>
            <w:tcW w:w="2551" w:type="dxa"/>
            <w:vAlign w:val="center"/>
          </w:tcPr>
          <w:p>
            <w:pPr>
              <w:pStyle w:val="13"/>
            </w:pPr>
            <w:r>
              <w:t>1.44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0"/>
      </w:pPr>
      <w:r>
        <w:rPr>
          <w:rFonts w:ascii="方正小标宋_GBK" w:hAnsi="方正小标宋_GBK" w:eastAsia="方正小标宋_GBK" w:cs="方正小标宋_GBK"/>
          <w:color w:val="000000"/>
          <w:sz w:val="36"/>
        </w:rPr>
        <w:t>部门预算政府基金预算财政拨款支出表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0"/>
      </w:pPr>
      <w:r>
        <w:rPr>
          <w:rFonts w:ascii="方正小标宋_GBK" w:hAnsi="方正小标宋_GBK" w:eastAsia="方正小标宋_GBK" w:cs="方正小标宋_GBK"/>
          <w:color w:val="000000"/>
          <w:sz w:val="36"/>
        </w:rPr>
        <w:t>部门预算国有资本经营预算财政拨款支出表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0"/>
      </w:pPr>
      <w:r>
        <w:rPr>
          <w:rFonts w:ascii="方正小标宋_GBK" w:hAnsi="方正小标宋_GBK" w:eastAsia="方正小标宋_GBK" w:cs="方正小标宋_GBK"/>
          <w:color w:val="000000"/>
          <w:sz w:val="36"/>
        </w:rPr>
        <w:t>部门预算财政拨款“三公”经费支出表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rPr>
                <w:rFonts w:hint="default" w:eastAsia="方正书宋_GBK"/>
                <w:lang w:val="en-US" w:eastAsia="zh-CN"/>
              </w:rPr>
            </w:pPr>
            <w:r>
              <w:rPr>
                <w:rFonts w:hint="eastAsia"/>
                <w:lang w:val="en-US" w:eastAsia="zh-CN"/>
              </w:rPr>
              <w:t>一、因公出国（境）费</w:t>
            </w:r>
          </w:p>
        </w:tc>
        <w:tc>
          <w:tcPr>
            <w:tcW w:w="2382" w:type="dxa"/>
            <w:vAlign w:val="center"/>
          </w:tcPr>
          <w:p>
            <w:pPr>
              <w:pStyle w:val="13"/>
              <w:rPr>
                <w:rFonts w:hint="default" w:eastAsia="方正书宋_GBK"/>
                <w:lang w:val="en-US" w:eastAsia="zh-CN"/>
              </w:rPr>
            </w:pPr>
          </w:p>
        </w:tc>
        <w:tc>
          <w:tcPr>
            <w:tcW w:w="2381" w:type="dxa"/>
            <w:vAlign w:val="center"/>
          </w:tcPr>
          <w:p>
            <w:pPr>
              <w:pStyle w:val="13"/>
              <w:rPr>
                <w:rFonts w:hint="default" w:eastAsia="方正书宋_GBK"/>
                <w:lang w:val="en-US" w:eastAsia="zh-CN"/>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rPr>
                <w:rFonts w:hint="default"/>
                <w:lang w:val="en-US" w:eastAsia="zh-CN"/>
              </w:rPr>
            </w:pPr>
            <w:r>
              <w:rPr>
                <w:rFonts w:hint="eastAsia"/>
                <w:lang w:val="en-US" w:eastAsia="zh-CN"/>
              </w:rPr>
              <w:t>二、公务用车购置及运维费</w:t>
            </w:r>
          </w:p>
        </w:tc>
        <w:tc>
          <w:tcPr>
            <w:tcW w:w="2382" w:type="dxa"/>
            <w:vAlign w:val="center"/>
          </w:tcPr>
          <w:p>
            <w:pPr>
              <w:pStyle w:val="13"/>
              <w:rPr>
                <w:rFonts w:hint="default"/>
                <w:lang w:val="en-US" w:eastAsia="zh-CN"/>
              </w:rPr>
            </w:pPr>
            <w:r>
              <w:rPr>
                <w:rFonts w:hint="eastAsia"/>
                <w:lang w:val="en-US" w:eastAsia="zh-CN"/>
              </w:rPr>
              <w:t>3.15</w:t>
            </w:r>
          </w:p>
        </w:tc>
        <w:tc>
          <w:tcPr>
            <w:tcW w:w="2381" w:type="dxa"/>
            <w:vAlign w:val="center"/>
          </w:tcPr>
          <w:p>
            <w:pPr>
              <w:pStyle w:val="13"/>
              <w:rPr>
                <w:rFonts w:hint="default"/>
                <w:lang w:val="en-US" w:eastAsia="zh-CN"/>
              </w:rPr>
            </w:pPr>
            <w:r>
              <w:rPr>
                <w:rFonts w:hint="eastAsia"/>
                <w:lang w:val="en-US" w:eastAsia="zh-CN"/>
              </w:rPr>
              <w:t>3.15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rPr>
                <w:rFonts w:hint="default"/>
                <w:lang w:val="en-US" w:eastAsia="zh-CN"/>
              </w:rPr>
            </w:pPr>
            <w:r>
              <w:rPr>
                <w:rFonts w:hint="eastAsia"/>
                <w:lang w:val="en-US" w:eastAsia="zh-CN"/>
              </w:rPr>
              <w:t>其中：公务用车购置费</w:t>
            </w:r>
          </w:p>
        </w:tc>
        <w:tc>
          <w:tcPr>
            <w:tcW w:w="2382" w:type="dxa"/>
            <w:vAlign w:val="center"/>
          </w:tcPr>
          <w:p>
            <w:pPr>
              <w:pStyle w:val="13"/>
              <w:rPr>
                <w:rFonts w:hint="eastAsia"/>
                <w:lang w:val="en-US" w:eastAsia="zh-CN"/>
              </w:rPr>
            </w:pPr>
          </w:p>
        </w:tc>
        <w:tc>
          <w:tcPr>
            <w:tcW w:w="2381" w:type="dxa"/>
            <w:vAlign w:val="center"/>
          </w:tcPr>
          <w:p>
            <w:pPr>
              <w:pStyle w:val="13"/>
              <w:rPr>
                <w:rFonts w:hint="eastAsia"/>
                <w:lang w:val="en-US" w:eastAsia="zh-CN"/>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rPr>
                <w:rFonts w:hint="default"/>
                <w:lang w:val="en-US" w:eastAsia="zh-CN"/>
              </w:rPr>
            </w:pPr>
            <w:r>
              <w:rPr>
                <w:rFonts w:hint="eastAsia"/>
                <w:lang w:val="en-US" w:eastAsia="zh-CN"/>
              </w:rPr>
              <w:t>公务用车运行维护费</w:t>
            </w:r>
          </w:p>
        </w:tc>
        <w:tc>
          <w:tcPr>
            <w:tcW w:w="2382" w:type="dxa"/>
            <w:vAlign w:val="center"/>
          </w:tcPr>
          <w:p>
            <w:pPr>
              <w:pStyle w:val="13"/>
              <w:rPr>
                <w:rFonts w:hint="default"/>
                <w:lang w:val="en-US" w:eastAsia="zh-CN"/>
              </w:rPr>
            </w:pPr>
            <w:r>
              <w:rPr>
                <w:rFonts w:hint="eastAsia"/>
                <w:lang w:val="en-US" w:eastAsia="zh-CN"/>
              </w:rPr>
              <w:t>3.15</w:t>
            </w:r>
          </w:p>
        </w:tc>
        <w:tc>
          <w:tcPr>
            <w:tcW w:w="2381" w:type="dxa"/>
            <w:vAlign w:val="center"/>
          </w:tcPr>
          <w:p>
            <w:pPr>
              <w:pStyle w:val="13"/>
              <w:rPr>
                <w:rFonts w:hint="default"/>
                <w:lang w:val="en-US" w:eastAsia="zh-CN"/>
              </w:rPr>
            </w:pPr>
            <w:r>
              <w:rPr>
                <w:rFonts w:hint="eastAsia"/>
                <w:lang w:val="en-US" w:eastAsia="zh-CN"/>
              </w:rPr>
              <w:t>3.15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rPr>
                <w:rFonts w:hint="default"/>
                <w:lang w:val="en-US" w:eastAsia="zh-CN"/>
              </w:rPr>
            </w:pPr>
            <w:r>
              <w:rPr>
                <w:rFonts w:hint="eastAsia"/>
                <w:lang w:val="en-US" w:eastAsia="zh-CN"/>
              </w:rPr>
              <w:t>三、公务接待费</w:t>
            </w:r>
          </w:p>
        </w:tc>
        <w:tc>
          <w:tcPr>
            <w:tcW w:w="2382" w:type="dxa"/>
            <w:vAlign w:val="center"/>
          </w:tcPr>
          <w:p>
            <w:pPr>
              <w:pStyle w:val="13"/>
              <w:rPr>
                <w:rFonts w:hint="eastAsia"/>
                <w:lang w:val="en-US" w:eastAsia="zh-CN"/>
              </w:rPr>
            </w:pPr>
          </w:p>
        </w:tc>
        <w:tc>
          <w:tcPr>
            <w:tcW w:w="2381" w:type="dxa"/>
            <w:vAlign w:val="center"/>
          </w:tcPr>
          <w:p>
            <w:pPr>
              <w:pStyle w:val="13"/>
              <w:rPr>
                <w:rFonts w:hint="eastAsia"/>
                <w:lang w:val="en-US" w:eastAsia="zh-CN"/>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rPr>
                <w:rFonts w:hint="default" w:eastAsia="方正书宋_GBK"/>
                <w:lang w:val="en-US" w:eastAsia="zh-CN"/>
              </w:rPr>
            </w:pPr>
            <w:r>
              <w:rPr>
                <w:rFonts w:hint="eastAsia"/>
                <w:lang w:val="en-US" w:eastAsia="zh-CN"/>
              </w:rPr>
              <w:t>公务用车维护费</w:t>
            </w:r>
          </w:p>
        </w:tc>
        <w:tc>
          <w:tcPr>
            <w:tcW w:w="2382" w:type="dxa"/>
            <w:vAlign w:val="center"/>
          </w:tcPr>
          <w:p>
            <w:pPr>
              <w:pStyle w:val="13"/>
              <w:rPr>
                <w:rFonts w:hint="default" w:eastAsia="方正书宋_GBK"/>
                <w:lang w:val="en-US" w:eastAsia="zh-CN"/>
              </w:rPr>
            </w:pPr>
            <w:r>
              <w:rPr>
                <w:rFonts w:hint="eastAsia"/>
                <w:lang w:val="en-US" w:eastAsia="zh-CN"/>
              </w:rPr>
              <w:t>3.15</w:t>
            </w:r>
          </w:p>
        </w:tc>
        <w:tc>
          <w:tcPr>
            <w:tcW w:w="2381" w:type="dxa"/>
            <w:vAlign w:val="center"/>
          </w:tcPr>
          <w:p>
            <w:pPr>
              <w:pStyle w:val="13"/>
              <w:rPr>
                <w:rFonts w:hint="default" w:eastAsia="方正书宋_GBK"/>
                <w:lang w:val="en-US" w:eastAsia="zh-CN"/>
              </w:rPr>
            </w:pPr>
            <w:r>
              <w:rPr>
                <w:rFonts w:hint="eastAsia"/>
                <w:lang w:val="en-US" w:eastAsia="zh-CN"/>
              </w:rPr>
              <w:t>3.15</w:t>
            </w:r>
          </w:p>
        </w:tc>
        <w:tc>
          <w:tcPr>
            <w:tcW w:w="2381" w:type="dxa"/>
            <w:vAlign w:val="center"/>
          </w:tcPr>
          <w:p>
            <w:pPr>
              <w:pStyle w:val="13"/>
            </w:pPr>
          </w:p>
        </w:tc>
        <w:tc>
          <w:tcPr>
            <w:tcW w:w="2381" w:type="dxa"/>
            <w:vAlign w:val="center"/>
          </w:tcPr>
          <w:p>
            <w:pPr>
              <w:pStyle w:val="13"/>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河北唐山芦台经济开发区动物卫生监督所2022年部门预算信息公开情况说明</w:t>
      </w:r>
    </w:p>
    <w:p>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按照《预算法》、《地方预决算公开操作规程》和《关于进一步推进预算公开工作的实施意见》规定，现将河北唐山芦台经济开发区动物卫生监督所2022年部门预算公开如下：</w:t>
      </w:r>
    </w:p>
    <w:p>
      <w:pPr>
        <w:spacing w:before="10" w:after="10"/>
        <w:ind w:firstLine="641"/>
        <w:jc w:val="left"/>
        <w:outlineLvl w:val="0"/>
      </w:pPr>
      <w:r>
        <w:rPr>
          <w:rFonts w:ascii="黑体" w:hAnsi="黑体" w:eastAsia="黑体" w:cs="黑体"/>
          <w:color w:val="000000"/>
          <w:sz w:val="32"/>
        </w:rPr>
        <w:t>一、</w:t>
      </w:r>
      <w:r>
        <w:rPr>
          <w:rFonts w:hint="eastAsia" w:ascii="黑体" w:hAnsi="黑体" w:eastAsia="黑体" w:cs="黑体"/>
          <w:color w:val="000000"/>
          <w:sz w:val="32"/>
        </w:rPr>
        <w:t>部门</w:t>
      </w:r>
      <w:r>
        <w:rPr>
          <w:rFonts w:ascii="黑体" w:hAnsi="黑体" w:eastAsia="黑体" w:cs="黑体"/>
          <w:color w:val="000000"/>
          <w:sz w:val="32"/>
        </w:rPr>
        <w:t>职责及机构设置情况</w:t>
      </w:r>
    </w:p>
    <w:p>
      <w:pPr>
        <w:ind w:firstLine="640"/>
        <w:jc w:val="left"/>
        <w:rPr>
          <w:rFonts w:ascii="方正楷体_GBK" w:hAnsi="方正楷体_GBK" w:eastAsia="方正楷体_GBK" w:cs="方正楷体_GBK"/>
          <w:b/>
          <w:color w:val="000000"/>
          <w:sz w:val="32"/>
        </w:rPr>
      </w:pPr>
      <w:r>
        <w:rPr>
          <w:rFonts w:hint="eastAsia" w:ascii="方正楷体_GBK" w:hAnsi="方正楷体_GBK" w:cs="方正楷体_GBK"/>
          <w:b/>
          <w:color w:val="000000"/>
          <w:sz w:val="32"/>
        </w:rPr>
        <w:t>部门</w:t>
      </w:r>
      <w:r>
        <w:rPr>
          <w:rFonts w:ascii="方正楷体_GBK" w:hAnsi="方正楷体_GBK" w:eastAsia="方正楷体_GBK" w:cs="方正楷体_GBK"/>
          <w:b/>
          <w:color w:val="000000"/>
          <w:sz w:val="32"/>
        </w:rPr>
        <w:t>职责：</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唐山芦台经济开发区动物卫生监督所是行政执法事业单位，履行《动物防疫法》、《兽药管理条例》、《河北省动物防疫条例》等法律、法规赋予的政府职能，具体职责为：</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１、依法实施动物防疫行政执法；</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２、依法实施动物及动物产品检疫；</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３、依法实施动物产品安全监管；</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４、依法实施兽药监督管理；</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５、负责实施动物疫病的监测、预警、预报、实验室诊断、流行病学调查、疫病报告；</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６、提出重大动物疫病防控技术方案；</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７、承担动物疫病预防的技术指导、技术培训、科普宣传任务；</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８、承担动物产品安全相关技术检测工作。</w:t>
      </w:r>
    </w:p>
    <w:p>
      <w:pPr>
        <w:ind w:firstLine="640"/>
        <w:jc w:val="left"/>
        <w:rPr>
          <w:rFonts w:ascii="方正楷体_GBK" w:hAnsi="方正楷体_GBK" w:eastAsia="方正楷体_GBK" w:cs="方正楷体_GBK"/>
          <w:b/>
          <w:color w:val="000000"/>
          <w:sz w:val="32"/>
        </w:rPr>
      </w:pPr>
    </w:p>
    <w:p>
      <w:pPr>
        <w:pStyle w:val="17"/>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河北唐山芦台经济开发区动物卫生监督所</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bl>
    <w:p>
      <w:pPr>
        <w:spacing w:before="10" w:after="10"/>
        <w:ind w:firstLine="641"/>
        <w:jc w:val="left"/>
        <w:outlineLvl w:val="0"/>
      </w:pPr>
      <w:r>
        <w:rPr>
          <w:rFonts w:ascii="黑体" w:hAnsi="黑体" w:eastAsia="黑体" w:cs="黑体"/>
          <w:color w:val="000000"/>
          <w:sz w:val="32"/>
        </w:rPr>
        <w:t>二、部门预算安排的总体情况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按照预算管理有关规定，目前我省部门预算的编制实行综合预算管理，即全部收入和支出都反映在预算中。</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1、收入预算</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2022年我部门预算安排财政拨款收入为149.55万元。</w:t>
      </w:r>
      <w:r>
        <w:rPr>
          <w:rFonts w:hint="eastAsia" w:ascii="Times New Roman" w:hAnsi="方正仿宋_GBK" w:eastAsia="方正仿宋_GBK" w:cs="方正仿宋_GBK"/>
          <w:sz w:val="28"/>
          <w:lang w:eastAsia="zh-CN"/>
        </w:rPr>
        <w:t>我部门</w:t>
      </w:r>
      <w:r>
        <w:rPr>
          <w:rFonts w:hint="eastAsia" w:ascii="Times New Roman" w:hAnsi="方正仿宋_GBK" w:eastAsia="方正仿宋_GBK" w:cs="方正仿宋_GBK"/>
          <w:sz w:val="28"/>
        </w:rPr>
        <w:t>收入预算全部为财政拨款收入，没有其他收入来源。</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2、支出预算</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2022年我部门预算支出总计为149.55万元，其中人员经费支出为139.72万元，公用经费支出为9.83万元。</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   3、与上年增减情况</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（1）2022年预算收入比2021年预算收入增加34.95万元，其中人员经费预算增加32.5万元，增加原因为职工人员变动，公用经费预算增加2.44万元，增加原因为职工人员变动导致核定经费增加.</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（2）2022年预算支出比2021年增加34.95万元，其中人员经费预算增加32.5万元，增加原因为职工人员变动，公用经费预算增加2.44万元，增加原因为职工人员变动导致核定经费增加.</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综合以上增减因素，2022年预算收入与支出均比2021年增加34.95万元。</w:t>
      </w:r>
    </w:p>
    <w:p>
      <w:pPr>
        <w:pStyle w:val="18"/>
      </w:pPr>
    </w:p>
    <w:p>
      <w:pPr>
        <w:spacing w:before="10" w:after="10"/>
        <w:ind w:firstLine="641"/>
        <w:jc w:val="left"/>
        <w:outlineLvl w:val="0"/>
      </w:pPr>
      <w:r>
        <w:rPr>
          <w:rFonts w:ascii="黑体" w:hAnsi="黑体" w:eastAsia="黑体" w:cs="黑体"/>
          <w:color w:val="000000"/>
          <w:sz w:val="32"/>
        </w:rPr>
        <w:t>三、机关运行经费安排情况</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2022年公用经费预算共安排9.83万元，分别是：办公费0.32万元、电费0.82万元、邮电费0.28万元、取暖费0.85万元、物业管理费0.36万元、差旅费0.37万元、维护费0.12万元，培训费0.5万元、工会经费1.36万元、福利费1.70万元、公务用车维护费3.15万元。</w:t>
      </w:r>
    </w:p>
    <w:p>
      <w:pPr>
        <w:pStyle w:val="19"/>
      </w:pPr>
    </w:p>
    <w:p>
      <w:pPr>
        <w:spacing w:before="10" w:after="10"/>
        <w:ind w:firstLine="641"/>
        <w:jc w:val="left"/>
        <w:outlineLvl w:val="0"/>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2022年</w:t>
      </w:r>
      <w:r>
        <w:rPr>
          <w:rFonts w:hint="eastAsia" w:ascii="Times New Roman" w:hAnsi="方正仿宋_GBK" w:eastAsia="方正仿宋_GBK" w:cs="方正仿宋_GBK"/>
          <w:sz w:val="28"/>
          <w:lang w:eastAsia="zh-CN"/>
        </w:rPr>
        <w:t>我部门</w:t>
      </w:r>
      <w:r>
        <w:rPr>
          <w:rFonts w:hint="eastAsia" w:ascii="Times New Roman" w:hAnsi="方正仿宋_GBK" w:eastAsia="方正仿宋_GBK" w:cs="方正仿宋_GBK"/>
          <w:sz w:val="28"/>
        </w:rPr>
        <w:t xml:space="preserve"> “三公经费”预算3.15 万元，其中</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1. 公务用车购置及运行费</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①公务用车购置费0万元，与上年持平。</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②公务用车运行维护费3.15万元，与2021年公务车运行维护费3.15万元相比，无变化。</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2.公务接待费0万元，与上年持平。</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3. 因公出国（境）费0万元，与上年持平。</w:t>
      </w:r>
    </w:p>
    <w:p>
      <w:pPr>
        <w:pStyle w:val="20"/>
      </w:pPr>
    </w:p>
    <w:p>
      <w:pPr>
        <w:spacing w:before="10" w:after="10"/>
        <w:ind w:firstLine="641"/>
        <w:jc w:val="left"/>
        <w:outlineLvl w:val="0"/>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第一部分</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2022年部门整体绩效目标</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一、总体绩效目标</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1： 要求对检疫报检做好记录，保证所有检疫档案正确无误， 完 成检疫合格证等证件保管及发放等工作</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2： 通过对养殖场、户的不定期检查，抽取畜禽的血样、饲料等样</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品，进行化验，检测有无疫病发生，对报检动物及动物产品进行检疫 检验，预防和控制动物疫病的发生，保障人民群众的生命和财产安全 二、分项绩效目标</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 一）组织实施本区动物防疫监督执法工作</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绩效目标： 对养殖场、户不定期抽查监督，依法办理动物及动物产品 的检疫；</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绩效指标： 检疫登记率100%； 档案保存率100%； 合格证发放率100%； 部门整体支出支付进度：按月度支出进度支付；重点工作办结率： 100%。</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 二）提高履职效益和群众满意度</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绩效目标： 提高履职效益，提高群众满意度</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绩效指标： 社会公众、服务对象满意度100%</w:t>
      </w:r>
    </w:p>
    <w:p>
      <w:pPr>
        <w:spacing w:before="10" w:after="10"/>
        <w:ind w:firstLine="640"/>
        <w:jc w:val="left"/>
        <w:outlineLvl w:val="5"/>
        <w:rPr>
          <w:rFonts w:ascii="黑体" w:hAnsi="黑体" w:eastAsia="黑体" w:cs="黑体"/>
          <w:color w:val="000000"/>
          <w:sz w:val="32"/>
        </w:rPr>
      </w:pPr>
      <w:r>
        <w:rPr>
          <w:rFonts w:hint="eastAsia" w:ascii="黑体" w:hAnsi="黑体" w:eastAsia="黑体" w:cs="黑体"/>
          <w:color w:val="000000"/>
          <w:sz w:val="32"/>
        </w:rPr>
        <w:t>三、工作保障措施</w:t>
      </w:r>
    </w:p>
    <w:p>
      <w:pPr>
        <w:spacing w:before="10" w:after="10"/>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完善相关制度建设，制定完善相关预算绩效管理制度、资金管 理办法、工作保障制度等，为全年的预算目标的实现奠定制度的基 础。加强宣传培训调研和人员培训，提高本部门职工业务素质； 加强调研，提出优化财政资金配置、提高资金使用效益的建议； 加大宣传力度，强化预算绩效管理意识，促进预算绩效管理水品进一步 提升。</w:t>
      </w:r>
    </w:p>
    <w:p>
      <w:pPr>
        <w:spacing w:before="10" w:after="10"/>
        <w:ind w:firstLine="641"/>
        <w:jc w:val="left"/>
        <w:outlineLvl w:val="0"/>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2022年，河北唐山芦台经济开发区动物卫生监督所安排政府采购预算0.00万元。具体内容见下表。</w:t>
      </w:r>
    </w:p>
    <w:p>
      <w:pPr>
        <w:jc w:val="center"/>
      </w:pP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1"/>
        <w:jc w:val="left"/>
        <w:outlineLvl w:val="0"/>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河北唐山芦台经济开发区动物卫生监督所</w:t>
      </w:r>
      <w:r>
        <w:rPr>
          <w:rFonts w:hint="eastAsia" w:ascii="Times New Roman" w:hAnsi="Times New Roman" w:eastAsia="方正仿宋_GBK" w:cs="Times New Roman"/>
          <w:color w:val="000000"/>
          <w:sz w:val="28"/>
          <w:lang w:eastAsia="zh-CN"/>
        </w:rPr>
        <w:t>（含所属单位）</w:t>
      </w:r>
      <w:r>
        <w:rPr>
          <w:rFonts w:ascii="Times New Roman" w:hAnsi="Times New Roman" w:eastAsia="方正仿宋_GBK" w:cs="Times New Roman"/>
          <w:color w:val="000000"/>
          <w:sz w:val="28"/>
        </w:rPr>
        <w:t>上年末固定资产金额为</w:t>
      </w:r>
      <w:r>
        <w:rPr>
          <w:rFonts w:hint="eastAsia" w:ascii="Times New Roman" w:hAnsi="Times New Roman" w:eastAsia="方正仿宋_GBK" w:cs="Times New Roman"/>
          <w:color w:val="000000"/>
          <w:sz w:val="28"/>
          <w:lang w:val="en-US" w:eastAsia="zh-CN"/>
        </w:rPr>
        <w:t>156.11</w:t>
      </w:r>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4933" w:type="dxa"/>
            <w:tcBorders>
              <w:top w:val="single" w:color="FFFFFF" w:sz="6" w:space="0"/>
              <w:left w:val="single" w:color="FFFFFF" w:sz="6" w:space="0"/>
              <w:right w:val="single" w:color="FFFFFF" w:sz="6" w:space="0"/>
            </w:tcBorders>
            <w:vAlign w:val="center"/>
          </w:tcPr>
          <w:p>
            <w:pPr>
              <w:pStyle w:val="7"/>
            </w:pPr>
            <w:r>
              <w:t>河北唐山芦台经济开发区动物卫生监督所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固定资产</w:t>
            </w:r>
          </w:p>
        </w:tc>
        <w:tc>
          <w:tcPr>
            <w:tcW w:w="4933" w:type="dxa"/>
            <w:vAlign w:val="bottom"/>
          </w:tcPr>
          <w:p>
            <w:pPr>
              <w:widowControl/>
              <w:jc w:val="center"/>
              <w:textAlignment w:val="bottom"/>
              <w:rPr>
                <w:rFonts w:ascii="宋体" w:hAnsi="宋体" w:eastAsia="宋体" w:cs="宋体"/>
                <w:color w:val="000000"/>
                <w:sz w:val="22"/>
                <w:szCs w:val="22"/>
              </w:rPr>
            </w:pPr>
          </w:p>
        </w:tc>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156.11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一、房屋（平方米）</w:t>
            </w:r>
          </w:p>
        </w:tc>
        <w:tc>
          <w:tcPr>
            <w:tcW w:w="4933" w:type="dxa"/>
            <w:vAlign w:val="bottom"/>
          </w:tcPr>
          <w:p>
            <w:pPr>
              <w:widowControl/>
              <w:jc w:val="center"/>
              <w:textAlignment w:val="bottom"/>
              <w:rPr>
                <w:rFonts w:ascii="宋体" w:hAnsi="宋体" w:eastAsia="宋体" w:cs="宋体"/>
                <w:color w:val="000000"/>
                <w:sz w:val="22"/>
                <w:szCs w:val="22"/>
              </w:rPr>
            </w:pPr>
          </w:p>
        </w:tc>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二、汽车（台、辆）</w:t>
            </w:r>
          </w:p>
        </w:tc>
        <w:tc>
          <w:tcPr>
            <w:tcW w:w="4933" w:type="dxa"/>
            <w:vAlign w:val="bottom"/>
          </w:tcPr>
          <w:p>
            <w:pPr>
              <w:widowControl/>
              <w:jc w:val="center"/>
              <w:textAlignment w:val="bottom"/>
              <w:rPr>
                <w:rFonts w:ascii="宋体" w:hAnsi="宋体" w:eastAsia="宋体" w:cs="宋体"/>
                <w:color w:val="000000"/>
                <w:sz w:val="22"/>
                <w:szCs w:val="22"/>
              </w:rPr>
            </w:pPr>
          </w:p>
        </w:tc>
        <w:tc>
          <w:tcPr>
            <w:tcW w:w="4933" w:type="dxa"/>
            <w:vAlign w:val="bottom"/>
          </w:tcPr>
          <w:p>
            <w:pPr>
              <w:widowControl/>
              <w:jc w:val="center"/>
              <w:textAlignment w:val="bottom"/>
              <w:rPr>
                <w:rFonts w:ascii="宋体" w:hAnsi="宋体"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三、其他固定资产</w:t>
            </w:r>
          </w:p>
        </w:tc>
        <w:tc>
          <w:tcPr>
            <w:tcW w:w="4933" w:type="dxa"/>
            <w:vAlign w:val="bottom"/>
          </w:tcPr>
          <w:p>
            <w:pPr>
              <w:widowControl/>
              <w:jc w:val="center"/>
              <w:textAlignment w:val="bottom"/>
              <w:rPr>
                <w:rFonts w:ascii="宋体" w:hAnsi="宋体" w:eastAsia="宋体" w:cs="宋体"/>
                <w:color w:val="000000"/>
                <w:sz w:val="22"/>
                <w:szCs w:val="22"/>
              </w:rPr>
            </w:pPr>
          </w:p>
        </w:tc>
        <w:tc>
          <w:tcPr>
            <w:tcW w:w="4933" w:type="dxa"/>
            <w:vAlign w:val="bottom"/>
          </w:tcPr>
          <w:p>
            <w:pPr>
              <w:widowControl/>
              <w:jc w:val="center"/>
              <w:textAlignment w:val="bottom"/>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83.73</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1"/>
        <w:jc w:val="left"/>
        <w:outlineLvl w:val="0"/>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bookmarkStart w:id="0" w:name="_GoBack"/>
      <w:bookmarkEnd w:id="0"/>
      <w:r>
        <w:rPr>
          <w:rFonts w:ascii="Times New Roman" w:hAnsi="Times New Roman" w:eastAsia="方正仿宋_GBK" w:cs="Times New Roman"/>
          <w:color w:val="000000"/>
          <w:sz w:val="28"/>
        </w:rPr>
        <w:t>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1"/>
        <w:jc w:val="left"/>
        <w:outlineLvl w:val="0"/>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lang w:eastAsia="zh-CN"/>
        </w:rPr>
        <w:t>部门</w:t>
      </w:r>
      <w:r>
        <w:rPr>
          <w:rFonts w:ascii="Times New Roman" w:hAnsi="Times New Roman" w:eastAsia="方正仿宋_GBK" w:cs="Times New Roman"/>
          <w:color w:val="000000"/>
          <w:sz w:val="28"/>
        </w:rPr>
        <w:t>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5151C3-D364-4A15-AFEB-E1B9CA92A5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E82CF3B4-04E0-48EC-9233-2653F7D87AFF}"/>
  </w:font>
  <w:font w:name="方正小标宋_GBK">
    <w:altName w:val="Arial Unicode MS"/>
    <w:panose1 w:val="00000000000000000000"/>
    <w:charset w:val="00"/>
    <w:family w:val="auto"/>
    <w:pitch w:val="default"/>
    <w:sig w:usb0="00000000" w:usb1="00000000" w:usb2="00000000" w:usb3="00000000" w:csb0="00040001" w:csb1="00000000"/>
    <w:embedRegular r:id="rId3" w:fontKey="{6661FDBD-B2C6-454B-8828-0775485007B7}"/>
  </w:font>
  <w:font w:name="方正书宋_GBK">
    <w:altName w:val="Arial Unicode MS"/>
    <w:panose1 w:val="00000000000000000000"/>
    <w:charset w:val="00"/>
    <w:family w:val="auto"/>
    <w:pitch w:val="default"/>
    <w:sig w:usb0="00000000" w:usb1="00000000" w:usb2="00000000" w:usb3="00000000" w:csb0="00040001" w:csb1="00000000"/>
    <w:embedRegular r:id="rId4" w:fontKey="{BAAE67C8-86D8-44C2-8D1C-956754507F59}"/>
  </w:font>
  <w:font w:name="方正楷体_GBK">
    <w:altName w:val="Arial Unicode MS"/>
    <w:panose1 w:val="00000000000000000000"/>
    <w:charset w:val="00"/>
    <w:family w:val="auto"/>
    <w:pitch w:val="default"/>
    <w:sig w:usb0="00000000" w:usb1="00000000" w:usb2="00000000" w:usb3="00000000" w:csb0="00040001" w:csb1="00000000"/>
    <w:embedRegular r:id="rId5" w:fontKey="{B91A30B5-F907-44C5-B7AD-9C2A7A5024E8}"/>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7041266"/>
      <w:docPartObj>
        <w:docPartGallery w:val="autotext"/>
      </w:docPartObj>
    </w:sdtPr>
    <w:sdtContent>
      <w:p>
        <w:pPr>
          <w:pStyle w:val="2"/>
          <w:jc w:val="center"/>
        </w:pPr>
      </w:p>
      <w:p>
        <w:pPr>
          <w:pStyle w:val="2"/>
          <w:jc w:val="center"/>
        </w:pPr>
        <w:r>
          <w:fldChar w:fldCharType="begin"/>
        </w:r>
        <w:r>
          <w:instrText xml:space="preserve">PAGE   \* MERGEFORMAT</w:instrText>
        </w:r>
        <w:r>
          <w:fldChar w:fldCharType="separate"/>
        </w:r>
        <w:r>
          <w:rPr>
            <w:lang w:val="zh-CN"/>
          </w:rPr>
          <w:t>20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DB0E95"/>
    <w:rsid w:val="00184614"/>
    <w:rsid w:val="001E31D4"/>
    <w:rsid w:val="00501F3F"/>
    <w:rsid w:val="005F384F"/>
    <w:rsid w:val="007F3DB7"/>
    <w:rsid w:val="00BD361D"/>
    <w:rsid w:val="00DB0E95"/>
    <w:rsid w:val="19815246"/>
    <w:rsid w:val="210F656C"/>
    <w:rsid w:val="27EF6B48"/>
    <w:rsid w:val="288C111F"/>
    <w:rsid w:val="2D0B4A86"/>
    <w:rsid w:val="3F5E7D45"/>
    <w:rsid w:val="40657D71"/>
    <w:rsid w:val="47C7061F"/>
    <w:rsid w:val="7A42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uiPriority w:val="99"/>
    <w:pPr>
      <w:tabs>
        <w:tab w:val="center" w:pos="4153"/>
        <w:tab w:val="right" w:pos="8306"/>
      </w:tabs>
      <w:snapToGrid w:val="0"/>
      <w:jc w:val="left"/>
    </w:pPr>
    <w:rPr>
      <w:sz w:val="18"/>
      <w:szCs w:val="18"/>
    </w:rPr>
  </w:style>
  <w:style w:type="paragraph" w:styleId="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widowControl/>
      <w:spacing w:before="120"/>
      <w:ind w:firstLine="560"/>
      <w:jc w:val="left"/>
    </w:pPr>
    <w:rPr>
      <w:rFonts w:ascii="Times New Roman" w:hAnsi="Times New Roman" w:eastAsia="方正仿宋_GBK" w:cs="Times New Roman"/>
      <w:color w:val="000000"/>
      <w:kern w:val="0"/>
      <w:sz w:val="28"/>
      <w:lang w:eastAsia="uk-UA"/>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sz w:val="24"/>
    </w:rPr>
  </w:style>
  <w:style w:type="character" w:customStyle="1" w:styleId="22">
    <w:name w:val="页眉 Char"/>
    <w:basedOn w:val="6"/>
    <w:link w:val="3"/>
    <w:qFormat/>
    <w:uiPriority w:val="0"/>
    <w:rPr>
      <w:rFonts w:asciiTheme="minorHAnsi" w:hAnsiTheme="minorHAnsi" w:eastAsiaTheme="minorEastAsia" w:cstheme="minorBidi"/>
      <w:kern w:val="2"/>
      <w:sz w:val="18"/>
      <w:szCs w:val="18"/>
    </w:rPr>
  </w:style>
  <w:style w:type="character" w:customStyle="1" w:styleId="23">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0328-C58A-4D04-9DE7-B476B73FF2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5439</Words>
  <Characters>6722</Characters>
  <Lines>74</Lines>
  <Paragraphs>20</Paragraphs>
  <TotalTime>1</TotalTime>
  <ScaleCrop>false</ScaleCrop>
  <LinksUpToDate>false</LinksUpToDate>
  <CharactersWithSpaces>6885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2022-06-18T06:55:00Z</dcterms:created>
  <dc:creator>Lenovo</dc:creator>
  <cp:lastModifiedBy>*:.一二三</cp:lastModifiedBy>
  <dcterms:modified xsi:type="dcterms:W3CDTF">2023-09-04T11:09:28Z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57023633AB2545089AAACE1A5F8A7BE5_13</vt:lpwstr>
  </property>
</Properties>
</file>