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3317.09</w:t>
            </w:r>
          </w:p>
        </w:tc>
        <w:tc>
          <w:tcPr>
            <w:tcW w:w="4535" w:type="dxa"/>
            <w:vAlign w:val="center"/>
          </w:tcPr>
          <w:p>
            <w:pPr>
              <w:pStyle w:val="14"/>
            </w:pPr>
            <w:r>
              <w:t>一、一般公共服务支出</w:t>
            </w:r>
          </w:p>
        </w:tc>
        <w:tc>
          <w:tcPr>
            <w:tcW w:w="2126" w:type="dxa"/>
            <w:vAlign w:val="center"/>
          </w:tcPr>
          <w:p>
            <w:pPr>
              <w:pStyle w:val="13"/>
            </w:pPr>
            <w:r>
              <w:t>305.16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1294.22</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r>
              <w:t>1967.24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4611.32</w:t>
            </w:r>
          </w:p>
        </w:tc>
        <w:tc>
          <w:tcPr>
            <w:tcW w:w="4535" w:type="dxa"/>
            <w:vAlign w:val="center"/>
          </w:tcPr>
          <w:p>
            <w:pPr>
              <w:pStyle w:val="16"/>
            </w:pPr>
            <w:r>
              <w:t>本年支出合计</w:t>
            </w:r>
          </w:p>
        </w:tc>
        <w:tc>
          <w:tcPr>
            <w:tcW w:w="2126" w:type="dxa"/>
            <w:vAlign w:val="center"/>
          </w:tcPr>
          <w:p>
            <w:pPr>
              <w:pStyle w:val="17"/>
            </w:pPr>
            <w:r>
              <w:t>4611.32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4611.32</w:t>
            </w:r>
          </w:p>
        </w:tc>
        <w:tc>
          <w:tcPr>
            <w:tcW w:w="4535" w:type="dxa"/>
            <w:vAlign w:val="center"/>
          </w:tcPr>
          <w:p>
            <w:pPr>
              <w:pStyle w:val="16"/>
            </w:pPr>
            <w:r>
              <w:t>支出总计</w:t>
            </w:r>
          </w:p>
        </w:tc>
        <w:tc>
          <w:tcPr>
            <w:tcW w:w="2126" w:type="dxa"/>
            <w:vAlign w:val="center"/>
          </w:tcPr>
          <w:p>
            <w:pPr>
              <w:pStyle w:val="17"/>
            </w:pPr>
            <w:r>
              <w:t>4611.32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4611.32</w:t>
            </w:r>
          </w:p>
        </w:tc>
        <w:tc>
          <w:tcPr>
            <w:tcW w:w="1134" w:type="dxa"/>
            <w:vAlign w:val="center"/>
          </w:tcPr>
          <w:p>
            <w:pPr>
              <w:pStyle w:val="17"/>
            </w:pPr>
            <w:r>
              <w:t>4611.32</w:t>
            </w:r>
          </w:p>
        </w:tc>
        <w:tc>
          <w:tcPr>
            <w:tcW w:w="1134" w:type="dxa"/>
            <w:vAlign w:val="center"/>
          </w:tcPr>
          <w:p>
            <w:pPr>
              <w:pStyle w:val="17"/>
            </w:pPr>
            <w:r>
              <w:t>4611.32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302.16</w:t>
            </w:r>
          </w:p>
        </w:tc>
        <w:tc>
          <w:tcPr>
            <w:tcW w:w="1134" w:type="dxa"/>
            <w:vAlign w:val="center"/>
          </w:tcPr>
          <w:p>
            <w:pPr>
              <w:pStyle w:val="13"/>
            </w:pPr>
            <w:r>
              <w:t>302.16</w:t>
            </w:r>
          </w:p>
        </w:tc>
        <w:tc>
          <w:tcPr>
            <w:tcW w:w="1134" w:type="dxa"/>
            <w:vAlign w:val="center"/>
          </w:tcPr>
          <w:p>
            <w:pPr>
              <w:pStyle w:val="13"/>
            </w:pPr>
            <w:r>
              <w:t>302.16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251.56</w:t>
            </w:r>
          </w:p>
        </w:tc>
        <w:tc>
          <w:tcPr>
            <w:tcW w:w="1134" w:type="dxa"/>
            <w:vAlign w:val="center"/>
          </w:tcPr>
          <w:p>
            <w:pPr>
              <w:pStyle w:val="13"/>
            </w:pPr>
            <w:r>
              <w:t>251.56</w:t>
            </w:r>
          </w:p>
        </w:tc>
        <w:tc>
          <w:tcPr>
            <w:tcW w:w="1134" w:type="dxa"/>
            <w:vAlign w:val="center"/>
          </w:tcPr>
          <w:p>
            <w:pPr>
              <w:pStyle w:val="13"/>
            </w:pPr>
            <w:r>
              <w:t>251.56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2010608</w:t>
            </w:r>
          </w:p>
        </w:tc>
        <w:tc>
          <w:tcPr>
            <w:tcW w:w="1559" w:type="dxa"/>
            <w:vAlign w:val="center"/>
          </w:tcPr>
          <w:p>
            <w:pPr>
              <w:pStyle w:val="14"/>
            </w:pPr>
            <w:r>
              <w:t>财政委托业务支出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2010699</w:t>
            </w:r>
          </w:p>
        </w:tc>
        <w:tc>
          <w:tcPr>
            <w:tcW w:w="1559" w:type="dxa"/>
            <w:vAlign w:val="center"/>
          </w:tcPr>
          <w:p>
            <w:pPr>
              <w:pStyle w:val="14"/>
            </w:pPr>
            <w:r>
              <w:t>其他财政事务支出</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224.48</w:t>
            </w:r>
          </w:p>
        </w:tc>
        <w:tc>
          <w:tcPr>
            <w:tcW w:w="1134" w:type="dxa"/>
            <w:vAlign w:val="center"/>
          </w:tcPr>
          <w:p>
            <w:pPr>
              <w:pStyle w:val="13"/>
            </w:pPr>
            <w:r>
              <w:t>224.48</w:t>
            </w:r>
          </w:p>
        </w:tc>
        <w:tc>
          <w:tcPr>
            <w:tcW w:w="1134" w:type="dxa"/>
            <w:vAlign w:val="center"/>
          </w:tcPr>
          <w:p>
            <w:pPr>
              <w:pStyle w:val="13"/>
            </w:pPr>
            <w:r>
              <w:t>224.48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r>
              <w:t>24.48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r>
              <w:t>25.89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15.18</w:t>
            </w:r>
          </w:p>
        </w:tc>
        <w:tc>
          <w:tcPr>
            <w:tcW w:w="1134" w:type="dxa"/>
            <w:vAlign w:val="center"/>
          </w:tcPr>
          <w:p>
            <w:pPr>
              <w:pStyle w:val="13"/>
            </w:pPr>
            <w:r>
              <w:t>15.18</w:t>
            </w:r>
          </w:p>
        </w:tc>
        <w:tc>
          <w:tcPr>
            <w:tcW w:w="1134" w:type="dxa"/>
            <w:vAlign w:val="center"/>
          </w:tcPr>
          <w:p>
            <w:pPr>
              <w:pStyle w:val="13"/>
            </w:pPr>
            <w:r>
              <w:t>15.18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r>
              <w:t>203.47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2130803</w:t>
            </w:r>
          </w:p>
        </w:tc>
        <w:tc>
          <w:tcPr>
            <w:tcW w:w="1559" w:type="dxa"/>
            <w:vAlign w:val="center"/>
          </w:tcPr>
          <w:p>
            <w:pPr>
              <w:pStyle w:val="14"/>
            </w:pPr>
            <w:r>
              <w:t>农业保险保费补贴</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r>
              <w:t>64.99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r>
              <w:t>20.18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227</w:t>
            </w:r>
          </w:p>
        </w:tc>
        <w:tc>
          <w:tcPr>
            <w:tcW w:w="1559" w:type="dxa"/>
            <w:vAlign w:val="center"/>
          </w:tcPr>
          <w:p>
            <w:pPr>
              <w:pStyle w:val="14"/>
            </w:pPr>
            <w:r>
              <w:t>预备费</w:t>
            </w:r>
          </w:p>
        </w:tc>
        <w:tc>
          <w:tcPr>
            <w:tcW w:w="1134" w:type="dxa"/>
            <w:vAlign w:val="center"/>
          </w:tcPr>
          <w:p>
            <w:pPr>
              <w:pStyle w:val="13"/>
            </w:pPr>
            <w:r>
              <w:t>400.00</w:t>
            </w:r>
          </w:p>
        </w:tc>
        <w:tc>
          <w:tcPr>
            <w:tcW w:w="1134" w:type="dxa"/>
            <w:vAlign w:val="center"/>
          </w:tcPr>
          <w:p>
            <w:pPr>
              <w:pStyle w:val="13"/>
            </w:pPr>
            <w:r>
              <w:t>400.00</w:t>
            </w:r>
          </w:p>
        </w:tc>
        <w:tc>
          <w:tcPr>
            <w:tcW w:w="1134" w:type="dxa"/>
            <w:vAlign w:val="center"/>
          </w:tcPr>
          <w:p>
            <w:pPr>
              <w:pStyle w:val="13"/>
            </w:pPr>
            <w:r>
              <w:t>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22902</w:t>
            </w:r>
          </w:p>
        </w:tc>
        <w:tc>
          <w:tcPr>
            <w:tcW w:w="1559" w:type="dxa"/>
            <w:vAlign w:val="center"/>
          </w:tcPr>
          <w:p>
            <w:pPr>
              <w:pStyle w:val="14"/>
            </w:pPr>
            <w:r>
              <w:t>年初预留</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231</w:t>
            </w:r>
          </w:p>
        </w:tc>
        <w:tc>
          <w:tcPr>
            <w:tcW w:w="1559" w:type="dxa"/>
            <w:vAlign w:val="center"/>
          </w:tcPr>
          <w:p>
            <w:pPr>
              <w:pStyle w:val="14"/>
            </w:pPr>
            <w:r>
              <w:t>债务还本支出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23103</w:t>
            </w:r>
          </w:p>
        </w:tc>
        <w:tc>
          <w:tcPr>
            <w:tcW w:w="1559" w:type="dxa"/>
            <w:vAlign w:val="center"/>
          </w:tcPr>
          <w:p>
            <w:pPr>
              <w:pStyle w:val="14"/>
            </w:pPr>
            <w:r>
              <w:t>地方政府一般债务还本支出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2310301</w:t>
            </w:r>
          </w:p>
        </w:tc>
        <w:tc>
          <w:tcPr>
            <w:tcW w:w="1559" w:type="dxa"/>
            <w:vAlign w:val="center"/>
          </w:tcPr>
          <w:p>
            <w:pPr>
              <w:pStyle w:val="14"/>
            </w:pPr>
            <w:r>
              <w:t>地方政府一般债券还本支出</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r>
              <w:t>693.00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232</w:t>
            </w:r>
          </w:p>
        </w:tc>
        <w:tc>
          <w:tcPr>
            <w:tcW w:w="1559" w:type="dxa"/>
            <w:vAlign w:val="center"/>
          </w:tcPr>
          <w:p>
            <w:pPr>
              <w:pStyle w:val="14"/>
            </w:pPr>
            <w:r>
              <w:t>债务付息支出</w:t>
            </w:r>
          </w:p>
        </w:tc>
        <w:tc>
          <w:tcPr>
            <w:tcW w:w="1134" w:type="dxa"/>
            <w:vAlign w:val="center"/>
          </w:tcPr>
          <w:p>
            <w:pPr>
              <w:pStyle w:val="13"/>
            </w:pPr>
            <w:r>
              <w:t>1967.24</w:t>
            </w:r>
          </w:p>
        </w:tc>
        <w:tc>
          <w:tcPr>
            <w:tcW w:w="1134" w:type="dxa"/>
            <w:vAlign w:val="center"/>
          </w:tcPr>
          <w:p>
            <w:pPr>
              <w:pStyle w:val="13"/>
            </w:pPr>
            <w:r>
              <w:t>1967.24</w:t>
            </w:r>
          </w:p>
        </w:tc>
        <w:tc>
          <w:tcPr>
            <w:tcW w:w="1134" w:type="dxa"/>
            <w:vAlign w:val="center"/>
          </w:tcPr>
          <w:p>
            <w:pPr>
              <w:pStyle w:val="13"/>
            </w:pPr>
            <w:r>
              <w:t>1967.24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23203</w:t>
            </w:r>
          </w:p>
        </w:tc>
        <w:tc>
          <w:tcPr>
            <w:tcW w:w="1559" w:type="dxa"/>
            <w:vAlign w:val="center"/>
          </w:tcPr>
          <w:p>
            <w:pPr>
              <w:pStyle w:val="14"/>
            </w:pPr>
            <w:r>
              <w:t>地方政府一般债务付息支出</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2320301</w:t>
            </w:r>
          </w:p>
        </w:tc>
        <w:tc>
          <w:tcPr>
            <w:tcW w:w="1559" w:type="dxa"/>
            <w:vAlign w:val="center"/>
          </w:tcPr>
          <w:p>
            <w:pPr>
              <w:pStyle w:val="14"/>
            </w:pPr>
            <w:r>
              <w:t>地方政府一般债券付息支出</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r>
              <w:t>876.54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23204</w:t>
            </w:r>
          </w:p>
        </w:tc>
        <w:tc>
          <w:tcPr>
            <w:tcW w:w="1559" w:type="dxa"/>
            <w:vAlign w:val="center"/>
          </w:tcPr>
          <w:p>
            <w:pPr>
              <w:pStyle w:val="14"/>
            </w:pPr>
            <w:r>
              <w:t>地方政府专项债务付息支出</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2320411</w:t>
            </w:r>
          </w:p>
        </w:tc>
        <w:tc>
          <w:tcPr>
            <w:tcW w:w="1559" w:type="dxa"/>
            <w:vAlign w:val="center"/>
          </w:tcPr>
          <w:p>
            <w:pPr>
              <w:pStyle w:val="14"/>
            </w:pPr>
            <w:r>
              <w:t>国有土地使用权出让金债务付息支出</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r>
              <w:t>1090.70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233</w:t>
            </w:r>
          </w:p>
        </w:tc>
        <w:tc>
          <w:tcPr>
            <w:tcW w:w="1559" w:type="dxa"/>
            <w:vAlign w:val="center"/>
          </w:tcPr>
          <w:p>
            <w:pPr>
              <w:pStyle w:val="14"/>
            </w:pPr>
            <w:r>
              <w:t>债务发行费用支出</w:t>
            </w:r>
          </w:p>
        </w:tc>
        <w:tc>
          <w:tcPr>
            <w:tcW w:w="1134" w:type="dxa"/>
            <w:vAlign w:val="center"/>
          </w:tcPr>
          <w:p>
            <w:pPr>
              <w:pStyle w:val="13"/>
            </w:pPr>
            <w:r>
              <w:t>6.91</w:t>
            </w:r>
          </w:p>
        </w:tc>
        <w:tc>
          <w:tcPr>
            <w:tcW w:w="1134" w:type="dxa"/>
            <w:vAlign w:val="center"/>
          </w:tcPr>
          <w:p>
            <w:pPr>
              <w:pStyle w:val="13"/>
            </w:pPr>
            <w:r>
              <w:t>6.91</w:t>
            </w:r>
          </w:p>
        </w:tc>
        <w:tc>
          <w:tcPr>
            <w:tcW w:w="1134" w:type="dxa"/>
            <w:vAlign w:val="center"/>
          </w:tcPr>
          <w:p>
            <w:pPr>
              <w:pStyle w:val="13"/>
            </w:pPr>
            <w:r>
              <w:t>6.91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23303</w:t>
            </w:r>
          </w:p>
        </w:tc>
        <w:tc>
          <w:tcPr>
            <w:tcW w:w="1559" w:type="dxa"/>
            <w:vAlign w:val="center"/>
          </w:tcPr>
          <w:p>
            <w:pPr>
              <w:pStyle w:val="14"/>
            </w:pPr>
            <w:r>
              <w:t>地方政府一般债务发行费用支出</w:t>
            </w:r>
          </w:p>
        </w:tc>
        <w:tc>
          <w:tcPr>
            <w:tcW w:w="1134" w:type="dxa"/>
            <w:vAlign w:val="center"/>
          </w:tcPr>
          <w:p>
            <w:pPr>
              <w:pStyle w:val="13"/>
            </w:pPr>
            <w:r>
              <w:t>6.86</w:t>
            </w:r>
          </w:p>
        </w:tc>
        <w:tc>
          <w:tcPr>
            <w:tcW w:w="1134" w:type="dxa"/>
            <w:vAlign w:val="center"/>
          </w:tcPr>
          <w:p>
            <w:pPr>
              <w:pStyle w:val="13"/>
            </w:pPr>
            <w:r>
              <w:t>6.86</w:t>
            </w:r>
          </w:p>
        </w:tc>
        <w:tc>
          <w:tcPr>
            <w:tcW w:w="1134" w:type="dxa"/>
            <w:vAlign w:val="center"/>
          </w:tcPr>
          <w:p>
            <w:pPr>
              <w:pStyle w:val="13"/>
            </w:pPr>
            <w:r>
              <w:t>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23304</w:t>
            </w:r>
          </w:p>
        </w:tc>
        <w:tc>
          <w:tcPr>
            <w:tcW w:w="1559" w:type="dxa"/>
            <w:vAlign w:val="center"/>
          </w:tcPr>
          <w:p>
            <w:pPr>
              <w:pStyle w:val="14"/>
            </w:pPr>
            <w:r>
              <w:t>地方政府专项债务发行费用支出</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2330411</w:t>
            </w:r>
          </w:p>
        </w:tc>
        <w:tc>
          <w:tcPr>
            <w:tcW w:w="1559" w:type="dxa"/>
            <w:vAlign w:val="center"/>
          </w:tcPr>
          <w:p>
            <w:pPr>
              <w:pStyle w:val="14"/>
            </w:pPr>
            <w:r>
              <w:t>国有土地使用权出让金债务发行费用支出</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r>
              <w:t>0.05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4611.32</w:t>
            </w:r>
          </w:p>
        </w:tc>
        <w:tc>
          <w:tcPr>
            <w:tcW w:w="1361" w:type="dxa"/>
            <w:vAlign w:val="center"/>
          </w:tcPr>
          <w:p>
            <w:pPr>
              <w:pStyle w:val="17"/>
            </w:pPr>
            <w:r>
              <w:t>322.11</w:t>
            </w:r>
          </w:p>
        </w:tc>
        <w:tc>
          <w:tcPr>
            <w:tcW w:w="1361" w:type="dxa"/>
            <w:vAlign w:val="center"/>
          </w:tcPr>
          <w:p>
            <w:pPr>
              <w:pStyle w:val="17"/>
            </w:pPr>
            <w:r>
              <w:t>4289.21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305.16</w:t>
            </w:r>
          </w:p>
        </w:tc>
        <w:tc>
          <w:tcPr>
            <w:tcW w:w="1361" w:type="dxa"/>
            <w:vAlign w:val="center"/>
          </w:tcPr>
          <w:p>
            <w:pPr>
              <w:pStyle w:val="13"/>
            </w:pPr>
            <w:r>
              <w:t>251.56</w:t>
            </w:r>
          </w:p>
        </w:tc>
        <w:tc>
          <w:tcPr>
            <w:tcW w:w="1361" w:type="dxa"/>
            <w:vAlign w:val="center"/>
          </w:tcPr>
          <w:p>
            <w:pPr>
              <w:pStyle w:val="13"/>
            </w:pPr>
            <w:r>
              <w:t>53.60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w:t>
            </w:r>
          </w:p>
        </w:tc>
        <w:tc>
          <w:tcPr>
            <w:tcW w:w="4536" w:type="dxa"/>
            <w:vAlign w:val="center"/>
          </w:tcPr>
          <w:p>
            <w:pPr>
              <w:pStyle w:val="14"/>
            </w:pPr>
            <w:r>
              <w:t>财政事务</w:t>
            </w:r>
          </w:p>
        </w:tc>
        <w:tc>
          <w:tcPr>
            <w:tcW w:w="1361" w:type="dxa"/>
            <w:vAlign w:val="center"/>
          </w:tcPr>
          <w:p>
            <w:pPr>
              <w:pStyle w:val="13"/>
            </w:pPr>
            <w:r>
              <w:t>302.16</w:t>
            </w:r>
          </w:p>
        </w:tc>
        <w:tc>
          <w:tcPr>
            <w:tcW w:w="1361" w:type="dxa"/>
            <w:vAlign w:val="center"/>
          </w:tcPr>
          <w:p>
            <w:pPr>
              <w:pStyle w:val="13"/>
            </w:pPr>
            <w:r>
              <w:t>251.56</w:t>
            </w:r>
          </w:p>
        </w:tc>
        <w:tc>
          <w:tcPr>
            <w:tcW w:w="1361" w:type="dxa"/>
            <w:vAlign w:val="center"/>
          </w:tcPr>
          <w:p>
            <w:pPr>
              <w:pStyle w:val="13"/>
            </w:pPr>
            <w:r>
              <w:t>50.60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2010601</w:t>
            </w:r>
          </w:p>
        </w:tc>
        <w:tc>
          <w:tcPr>
            <w:tcW w:w="4536" w:type="dxa"/>
            <w:vAlign w:val="center"/>
          </w:tcPr>
          <w:p>
            <w:pPr>
              <w:pStyle w:val="14"/>
            </w:pPr>
            <w:r>
              <w:t>行政运行</w:t>
            </w:r>
          </w:p>
        </w:tc>
        <w:tc>
          <w:tcPr>
            <w:tcW w:w="1361" w:type="dxa"/>
            <w:vAlign w:val="center"/>
          </w:tcPr>
          <w:p>
            <w:pPr>
              <w:pStyle w:val="13"/>
            </w:pPr>
            <w:r>
              <w:t>251.56</w:t>
            </w:r>
          </w:p>
        </w:tc>
        <w:tc>
          <w:tcPr>
            <w:tcW w:w="1361" w:type="dxa"/>
            <w:vAlign w:val="center"/>
          </w:tcPr>
          <w:p>
            <w:pPr>
              <w:pStyle w:val="13"/>
            </w:pPr>
            <w:r>
              <w:t>251.56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2010608</w:t>
            </w:r>
          </w:p>
        </w:tc>
        <w:tc>
          <w:tcPr>
            <w:tcW w:w="4536" w:type="dxa"/>
            <w:vAlign w:val="center"/>
          </w:tcPr>
          <w:p>
            <w:pPr>
              <w:pStyle w:val="14"/>
            </w:pPr>
            <w:r>
              <w:t>财政委托业务支出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2010699</w:t>
            </w:r>
          </w:p>
        </w:tc>
        <w:tc>
          <w:tcPr>
            <w:tcW w:w="4536" w:type="dxa"/>
            <w:vAlign w:val="center"/>
          </w:tcPr>
          <w:p>
            <w:pPr>
              <w:pStyle w:val="14"/>
            </w:pPr>
            <w:r>
              <w:t>其他财政事务支出</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224.48</w:t>
            </w:r>
          </w:p>
        </w:tc>
        <w:tc>
          <w:tcPr>
            <w:tcW w:w="1361" w:type="dxa"/>
            <w:vAlign w:val="center"/>
          </w:tcPr>
          <w:p>
            <w:pPr>
              <w:pStyle w:val="13"/>
            </w:pPr>
            <w:r>
              <w:t>24.48</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24.48</w:t>
            </w:r>
          </w:p>
        </w:tc>
        <w:tc>
          <w:tcPr>
            <w:tcW w:w="1361" w:type="dxa"/>
            <w:vAlign w:val="center"/>
          </w:tcPr>
          <w:p>
            <w:pPr>
              <w:pStyle w:val="13"/>
            </w:pPr>
            <w:r>
              <w:t>24.48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2080599</w:t>
            </w:r>
          </w:p>
        </w:tc>
        <w:tc>
          <w:tcPr>
            <w:tcW w:w="4536" w:type="dxa"/>
            <w:vAlign w:val="center"/>
          </w:tcPr>
          <w:p>
            <w:pPr>
              <w:pStyle w:val="14"/>
            </w:pPr>
            <w:r>
              <w:t>其他行政事业单位养老支出</w:t>
            </w:r>
          </w:p>
        </w:tc>
        <w:tc>
          <w:tcPr>
            <w:tcW w:w="1361" w:type="dxa"/>
            <w:vAlign w:val="center"/>
          </w:tcPr>
          <w:p>
            <w:pPr>
              <w:pStyle w:val="13"/>
            </w:pPr>
            <w:r>
              <w:t>24.48</w:t>
            </w:r>
          </w:p>
        </w:tc>
        <w:tc>
          <w:tcPr>
            <w:tcW w:w="1361" w:type="dxa"/>
            <w:vAlign w:val="center"/>
          </w:tcPr>
          <w:p>
            <w:pPr>
              <w:pStyle w:val="13"/>
            </w:pPr>
            <w:r>
              <w:t>24.48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w:t>
            </w:r>
          </w:p>
        </w:tc>
        <w:tc>
          <w:tcPr>
            <w:tcW w:w="4536" w:type="dxa"/>
            <w:vAlign w:val="center"/>
          </w:tcPr>
          <w:p>
            <w:pPr>
              <w:pStyle w:val="14"/>
            </w:pPr>
            <w:r>
              <w:t>其他社会保障和就业支出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2089999</w:t>
            </w:r>
          </w:p>
        </w:tc>
        <w:tc>
          <w:tcPr>
            <w:tcW w:w="4536" w:type="dxa"/>
            <w:vAlign w:val="center"/>
          </w:tcPr>
          <w:p>
            <w:pPr>
              <w:pStyle w:val="14"/>
            </w:pPr>
            <w:r>
              <w:t>其他社会保障和就业支出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25.89</w:t>
            </w:r>
          </w:p>
        </w:tc>
        <w:tc>
          <w:tcPr>
            <w:tcW w:w="1361" w:type="dxa"/>
            <w:vAlign w:val="center"/>
          </w:tcPr>
          <w:p>
            <w:pPr>
              <w:pStyle w:val="13"/>
            </w:pPr>
            <w:r>
              <w:t>25.89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25.89</w:t>
            </w:r>
          </w:p>
        </w:tc>
        <w:tc>
          <w:tcPr>
            <w:tcW w:w="1361" w:type="dxa"/>
            <w:vAlign w:val="center"/>
          </w:tcPr>
          <w:p>
            <w:pPr>
              <w:pStyle w:val="13"/>
            </w:pPr>
            <w:r>
              <w:t>25.89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10.71</w:t>
            </w:r>
          </w:p>
        </w:tc>
        <w:tc>
          <w:tcPr>
            <w:tcW w:w="1361" w:type="dxa"/>
            <w:vAlign w:val="center"/>
          </w:tcPr>
          <w:p>
            <w:pPr>
              <w:pStyle w:val="13"/>
            </w:pPr>
            <w:r>
              <w:t>10.71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15.18</w:t>
            </w:r>
          </w:p>
        </w:tc>
        <w:tc>
          <w:tcPr>
            <w:tcW w:w="1361" w:type="dxa"/>
            <w:vAlign w:val="center"/>
          </w:tcPr>
          <w:p>
            <w:pPr>
              <w:pStyle w:val="13"/>
            </w:pPr>
            <w:r>
              <w:t>15.18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2120899</w:t>
            </w:r>
          </w:p>
        </w:tc>
        <w:tc>
          <w:tcPr>
            <w:tcW w:w="4536" w:type="dxa"/>
            <w:vAlign w:val="center"/>
          </w:tcPr>
          <w:p>
            <w:pPr>
              <w:pStyle w:val="14"/>
            </w:pPr>
            <w:r>
              <w:t>其他国有土地使用权出让收入安排的支出</w:t>
            </w: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r>
              <w:t>203.47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21308</w:t>
            </w:r>
          </w:p>
        </w:tc>
        <w:tc>
          <w:tcPr>
            <w:tcW w:w="4536" w:type="dxa"/>
            <w:vAlign w:val="center"/>
          </w:tcPr>
          <w:p>
            <w:pPr>
              <w:pStyle w:val="14"/>
            </w:pPr>
            <w:r>
              <w:t>普惠金融发展支出</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2130803</w:t>
            </w:r>
          </w:p>
        </w:tc>
        <w:tc>
          <w:tcPr>
            <w:tcW w:w="4536" w:type="dxa"/>
            <w:vAlign w:val="center"/>
          </w:tcPr>
          <w:p>
            <w:pPr>
              <w:pStyle w:val="14"/>
            </w:pPr>
            <w:r>
              <w:t>农业保险保费补贴</w:t>
            </w: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r>
              <w:t>64.99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w:t>
            </w:r>
          </w:p>
        </w:tc>
        <w:tc>
          <w:tcPr>
            <w:tcW w:w="4536" w:type="dxa"/>
            <w:vAlign w:val="center"/>
          </w:tcPr>
          <w:p>
            <w:pPr>
              <w:pStyle w:val="14"/>
            </w:pPr>
            <w:r>
              <w:t>资源勘探工业信息等支出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21508</w:t>
            </w:r>
          </w:p>
        </w:tc>
        <w:tc>
          <w:tcPr>
            <w:tcW w:w="4536" w:type="dxa"/>
            <w:vAlign w:val="center"/>
          </w:tcPr>
          <w:p>
            <w:pPr>
              <w:pStyle w:val="14"/>
            </w:pPr>
            <w:r>
              <w:t>支持中小企业发展和管理支出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2150899</w:t>
            </w:r>
          </w:p>
        </w:tc>
        <w:tc>
          <w:tcPr>
            <w:tcW w:w="4536" w:type="dxa"/>
            <w:vAlign w:val="center"/>
          </w:tcPr>
          <w:p>
            <w:pPr>
              <w:pStyle w:val="14"/>
            </w:pPr>
            <w:r>
              <w:t>其他支持中小企业发展和管理支出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20.18</w:t>
            </w:r>
          </w:p>
        </w:tc>
        <w:tc>
          <w:tcPr>
            <w:tcW w:w="1361" w:type="dxa"/>
            <w:vAlign w:val="center"/>
          </w:tcPr>
          <w:p>
            <w:pPr>
              <w:pStyle w:val="13"/>
            </w:pPr>
            <w:r>
              <w:t>20.18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227</w:t>
            </w:r>
          </w:p>
        </w:tc>
        <w:tc>
          <w:tcPr>
            <w:tcW w:w="4536" w:type="dxa"/>
            <w:vAlign w:val="center"/>
          </w:tcPr>
          <w:p>
            <w:pPr>
              <w:pStyle w:val="14"/>
            </w:pPr>
            <w:r>
              <w:t>预备费</w:t>
            </w: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r>
              <w:t>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w:t>
            </w:r>
          </w:p>
        </w:tc>
        <w:tc>
          <w:tcPr>
            <w:tcW w:w="4536" w:type="dxa"/>
            <w:vAlign w:val="center"/>
          </w:tcPr>
          <w:p>
            <w:pPr>
              <w:pStyle w:val="14"/>
            </w:pPr>
            <w:r>
              <w:t>其他支出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22902</w:t>
            </w:r>
          </w:p>
        </w:tc>
        <w:tc>
          <w:tcPr>
            <w:tcW w:w="4536" w:type="dxa"/>
            <w:vAlign w:val="center"/>
          </w:tcPr>
          <w:p>
            <w:pPr>
              <w:pStyle w:val="14"/>
            </w:pPr>
            <w:r>
              <w:t>年初预留</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231</w:t>
            </w:r>
          </w:p>
        </w:tc>
        <w:tc>
          <w:tcPr>
            <w:tcW w:w="4536" w:type="dxa"/>
            <w:vAlign w:val="center"/>
          </w:tcPr>
          <w:p>
            <w:pPr>
              <w:pStyle w:val="14"/>
            </w:pPr>
            <w:r>
              <w:t>债务还本支出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23103</w:t>
            </w:r>
          </w:p>
        </w:tc>
        <w:tc>
          <w:tcPr>
            <w:tcW w:w="4536" w:type="dxa"/>
            <w:vAlign w:val="center"/>
          </w:tcPr>
          <w:p>
            <w:pPr>
              <w:pStyle w:val="14"/>
            </w:pPr>
            <w:r>
              <w:t>地方政府一般债务还本支出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2310301</w:t>
            </w:r>
          </w:p>
        </w:tc>
        <w:tc>
          <w:tcPr>
            <w:tcW w:w="4536" w:type="dxa"/>
            <w:vAlign w:val="center"/>
          </w:tcPr>
          <w:p>
            <w:pPr>
              <w:pStyle w:val="14"/>
            </w:pPr>
            <w:r>
              <w:t>地方政府一般债券还本支出</w:t>
            </w: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r>
              <w:t>693.00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232</w:t>
            </w:r>
          </w:p>
        </w:tc>
        <w:tc>
          <w:tcPr>
            <w:tcW w:w="4536" w:type="dxa"/>
            <w:vAlign w:val="center"/>
          </w:tcPr>
          <w:p>
            <w:pPr>
              <w:pStyle w:val="14"/>
            </w:pPr>
            <w:r>
              <w:t>债务付息支出</w:t>
            </w:r>
          </w:p>
        </w:tc>
        <w:tc>
          <w:tcPr>
            <w:tcW w:w="1361" w:type="dxa"/>
            <w:vAlign w:val="center"/>
          </w:tcPr>
          <w:p>
            <w:pPr>
              <w:pStyle w:val="13"/>
            </w:pPr>
            <w:r>
              <w:t>1967.24</w:t>
            </w:r>
          </w:p>
        </w:tc>
        <w:tc>
          <w:tcPr>
            <w:tcW w:w="1361" w:type="dxa"/>
            <w:vAlign w:val="center"/>
          </w:tcPr>
          <w:p>
            <w:pPr>
              <w:pStyle w:val="13"/>
            </w:pPr>
          </w:p>
        </w:tc>
        <w:tc>
          <w:tcPr>
            <w:tcW w:w="1361" w:type="dxa"/>
            <w:vAlign w:val="center"/>
          </w:tcPr>
          <w:p>
            <w:pPr>
              <w:pStyle w:val="13"/>
            </w:pPr>
            <w:r>
              <w:t>1967.24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23203</w:t>
            </w:r>
          </w:p>
        </w:tc>
        <w:tc>
          <w:tcPr>
            <w:tcW w:w="4536" w:type="dxa"/>
            <w:vAlign w:val="center"/>
          </w:tcPr>
          <w:p>
            <w:pPr>
              <w:pStyle w:val="14"/>
            </w:pPr>
            <w:r>
              <w:t>地方政府一般债务付息支出</w:t>
            </w: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2320301</w:t>
            </w:r>
          </w:p>
        </w:tc>
        <w:tc>
          <w:tcPr>
            <w:tcW w:w="4536" w:type="dxa"/>
            <w:vAlign w:val="center"/>
          </w:tcPr>
          <w:p>
            <w:pPr>
              <w:pStyle w:val="14"/>
            </w:pPr>
            <w:r>
              <w:t>地方政府一般债券付息支出</w:t>
            </w: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r>
              <w:t>876.54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23204</w:t>
            </w:r>
          </w:p>
        </w:tc>
        <w:tc>
          <w:tcPr>
            <w:tcW w:w="4536" w:type="dxa"/>
            <w:vAlign w:val="center"/>
          </w:tcPr>
          <w:p>
            <w:pPr>
              <w:pStyle w:val="14"/>
            </w:pPr>
            <w:r>
              <w:t>地方政府专项债务付息支出</w:t>
            </w: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2320411</w:t>
            </w:r>
          </w:p>
        </w:tc>
        <w:tc>
          <w:tcPr>
            <w:tcW w:w="4536" w:type="dxa"/>
            <w:vAlign w:val="center"/>
          </w:tcPr>
          <w:p>
            <w:pPr>
              <w:pStyle w:val="14"/>
            </w:pPr>
            <w:r>
              <w:t>国有土地使用权出让金债务付息支出</w:t>
            </w: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r>
              <w:t>1090.70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233</w:t>
            </w:r>
          </w:p>
        </w:tc>
        <w:tc>
          <w:tcPr>
            <w:tcW w:w="4536" w:type="dxa"/>
            <w:vAlign w:val="center"/>
          </w:tcPr>
          <w:p>
            <w:pPr>
              <w:pStyle w:val="14"/>
            </w:pPr>
            <w:r>
              <w:t>债务发行费用支出</w:t>
            </w:r>
          </w:p>
        </w:tc>
        <w:tc>
          <w:tcPr>
            <w:tcW w:w="1361" w:type="dxa"/>
            <w:vAlign w:val="center"/>
          </w:tcPr>
          <w:p>
            <w:pPr>
              <w:pStyle w:val="13"/>
            </w:pPr>
            <w:r>
              <w:t>6.91</w:t>
            </w:r>
          </w:p>
        </w:tc>
        <w:tc>
          <w:tcPr>
            <w:tcW w:w="1361" w:type="dxa"/>
            <w:vAlign w:val="center"/>
          </w:tcPr>
          <w:p>
            <w:pPr>
              <w:pStyle w:val="13"/>
            </w:pPr>
          </w:p>
        </w:tc>
        <w:tc>
          <w:tcPr>
            <w:tcW w:w="1361" w:type="dxa"/>
            <w:vAlign w:val="center"/>
          </w:tcPr>
          <w:p>
            <w:pPr>
              <w:pStyle w:val="13"/>
            </w:pPr>
            <w:r>
              <w:t>6.91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23303</w:t>
            </w:r>
          </w:p>
        </w:tc>
        <w:tc>
          <w:tcPr>
            <w:tcW w:w="4536" w:type="dxa"/>
            <w:vAlign w:val="center"/>
          </w:tcPr>
          <w:p>
            <w:pPr>
              <w:pStyle w:val="14"/>
            </w:pPr>
            <w:r>
              <w:t>地方政府一般债务发行费用支出</w:t>
            </w:r>
          </w:p>
        </w:tc>
        <w:tc>
          <w:tcPr>
            <w:tcW w:w="1361" w:type="dxa"/>
            <w:vAlign w:val="center"/>
          </w:tcPr>
          <w:p>
            <w:pPr>
              <w:pStyle w:val="13"/>
            </w:pPr>
            <w:r>
              <w:t>6.86</w:t>
            </w:r>
          </w:p>
        </w:tc>
        <w:tc>
          <w:tcPr>
            <w:tcW w:w="1361" w:type="dxa"/>
            <w:vAlign w:val="center"/>
          </w:tcPr>
          <w:p>
            <w:pPr>
              <w:pStyle w:val="13"/>
            </w:pPr>
          </w:p>
        </w:tc>
        <w:tc>
          <w:tcPr>
            <w:tcW w:w="1361" w:type="dxa"/>
            <w:vAlign w:val="center"/>
          </w:tcPr>
          <w:p>
            <w:pPr>
              <w:pStyle w:val="13"/>
            </w:pPr>
            <w:r>
              <w:t>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23304</w:t>
            </w:r>
          </w:p>
        </w:tc>
        <w:tc>
          <w:tcPr>
            <w:tcW w:w="4536" w:type="dxa"/>
            <w:vAlign w:val="center"/>
          </w:tcPr>
          <w:p>
            <w:pPr>
              <w:pStyle w:val="14"/>
            </w:pPr>
            <w:r>
              <w:t>地方政府专项债务发行费用支出</w:t>
            </w: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2330411</w:t>
            </w:r>
          </w:p>
        </w:tc>
        <w:tc>
          <w:tcPr>
            <w:tcW w:w="4536" w:type="dxa"/>
            <w:vAlign w:val="center"/>
          </w:tcPr>
          <w:p>
            <w:pPr>
              <w:pStyle w:val="14"/>
            </w:pPr>
            <w:r>
              <w:t>国有土地使用权出让金债务发行费用支出</w:t>
            </w: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r>
              <w:t>0.05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3317.09</w:t>
            </w:r>
          </w:p>
        </w:tc>
        <w:tc>
          <w:tcPr>
            <w:tcW w:w="3402" w:type="dxa"/>
            <w:vAlign w:val="center"/>
          </w:tcPr>
          <w:p>
            <w:pPr>
              <w:pStyle w:val="14"/>
            </w:pPr>
            <w:r>
              <w:t>一、一般公共服务支出</w:t>
            </w:r>
          </w:p>
        </w:tc>
        <w:tc>
          <w:tcPr>
            <w:tcW w:w="1474" w:type="dxa"/>
            <w:vAlign w:val="center"/>
          </w:tcPr>
          <w:p>
            <w:pPr>
              <w:pStyle w:val="13"/>
            </w:pPr>
            <w:r>
              <w:t>305.16</w:t>
            </w:r>
          </w:p>
        </w:tc>
        <w:tc>
          <w:tcPr>
            <w:tcW w:w="1474" w:type="dxa"/>
            <w:vAlign w:val="center"/>
          </w:tcPr>
          <w:p>
            <w:pPr>
              <w:pStyle w:val="13"/>
            </w:pPr>
            <w:r>
              <w:t>305.16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1294.22</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224.48</w:t>
            </w:r>
          </w:p>
        </w:tc>
        <w:tc>
          <w:tcPr>
            <w:tcW w:w="1474" w:type="dxa"/>
            <w:vAlign w:val="center"/>
          </w:tcPr>
          <w:p>
            <w:pPr>
              <w:pStyle w:val="13"/>
            </w:pPr>
            <w:r>
              <w:t>224.48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25.89</w:t>
            </w:r>
          </w:p>
        </w:tc>
        <w:tc>
          <w:tcPr>
            <w:tcW w:w="1474" w:type="dxa"/>
            <w:vAlign w:val="center"/>
          </w:tcPr>
          <w:p>
            <w:pPr>
              <w:pStyle w:val="13"/>
            </w:pPr>
            <w:r>
              <w:t>25.89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203.47</w:t>
            </w:r>
          </w:p>
        </w:tc>
        <w:tc>
          <w:tcPr>
            <w:tcW w:w="1474" w:type="dxa"/>
            <w:vAlign w:val="center"/>
          </w:tcPr>
          <w:p>
            <w:pPr>
              <w:pStyle w:val="13"/>
            </w:pPr>
          </w:p>
        </w:tc>
        <w:tc>
          <w:tcPr>
            <w:tcW w:w="1474" w:type="dxa"/>
            <w:vAlign w:val="center"/>
          </w:tcPr>
          <w:p>
            <w:pPr>
              <w:pStyle w:val="13"/>
            </w:pPr>
            <w:r>
              <w:t>203.47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64.99</w:t>
            </w:r>
          </w:p>
        </w:tc>
        <w:tc>
          <w:tcPr>
            <w:tcW w:w="1474" w:type="dxa"/>
            <w:vAlign w:val="center"/>
          </w:tcPr>
          <w:p>
            <w:pPr>
              <w:pStyle w:val="13"/>
            </w:pPr>
            <w:r>
              <w:t>64.99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100.00</w:t>
            </w:r>
          </w:p>
        </w:tc>
        <w:tc>
          <w:tcPr>
            <w:tcW w:w="1474" w:type="dxa"/>
            <w:vAlign w:val="center"/>
          </w:tcPr>
          <w:p>
            <w:pPr>
              <w:pStyle w:val="13"/>
            </w:pPr>
            <w:r>
              <w:t>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20.18</w:t>
            </w:r>
          </w:p>
        </w:tc>
        <w:tc>
          <w:tcPr>
            <w:tcW w:w="1474" w:type="dxa"/>
            <w:vAlign w:val="center"/>
          </w:tcPr>
          <w:p>
            <w:pPr>
              <w:pStyle w:val="13"/>
            </w:pPr>
            <w:r>
              <w:t>20.18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r>
              <w:t>400.00</w:t>
            </w:r>
          </w:p>
        </w:tc>
        <w:tc>
          <w:tcPr>
            <w:tcW w:w="1474" w:type="dxa"/>
            <w:vAlign w:val="center"/>
          </w:tcPr>
          <w:p>
            <w:pPr>
              <w:pStyle w:val="13"/>
            </w:pPr>
            <w:r>
              <w:t>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600.00</w:t>
            </w:r>
          </w:p>
        </w:tc>
        <w:tc>
          <w:tcPr>
            <w:tcW w:w="1474" w:type="dxa"/>
            <w:vAlign w:val="center"/>
          </w:tcPr>
          <w:p>
            <w:pPr>
              <w:pStyle w:val="13"/>
            </w:pPr>
            <w:r>
              <w:t>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r>
              <w:t>693.00</w:t>
            </w:r>
          </w:p>
        </w:tc>
        <w:tc>
          <w:tcPr>
            <w:tcW w:w="1474" w:type="dxa"/>
            <w:vAlign w:val="center"/>
          </w:tcPr>
          <w:p>
            <w:pPr>
              <w:pStyle w:val="13"/>
            </w:pPr>
            <w:r>
              <w:t>693.00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r>
              <w:t>1967.24</w:t>
            </w:r>
          </w:p>
        </w:tc>
        <w:tc>
          <w:tcPr>
            <w:tcW w:w="1474" w:type="dxa"/>
            <w:vAlign w:val="center"/>
          </w:tcPr>
          <w:p>
            <w:pPr>
              <w:pStyle w:val="13"/>
            </w:pPr>
            <w:r>
              <w:t>876.54</w:t>
            </w:r>
          </w:p>
        </w:tc>
        <w:tc>
          <w:tcPr>
            <w:tcW w:w="1474" w:type="dxa"/>
            <w:vAlign w:val="center"/>
          </w:tcPr>
          <w:p>
            <w:pPr>
              <w:pStyle w:val="13"/>
            </w:pPr>
            <w:r>
              <w:t>1090.70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r>
              <w:t>6.91</w:t>
            </w:r>
          </w:p>
        </w:tc>
        <w:tc>
          <w:tcPr>
            <w:tcW w:w="1474" w:type="dxa"/>
            <w:vAlign w:val="center"/>
          </w:tcPr>
          <w:p>
            <w:pPr>
              <w:pStyle w:val="13"/>
            </w:pPr>
            <w:r>
              <w:t>6.86</w:t>
            </w:r>
          </w:p>
        </w:tc>
        <w:tc>
          <w:tcPr>
            <w:tcW w:w="1474" w:type="dxa"/>
            <w:vAlign w:val="center"/>
          </w:tcPr>
          <w:p>
            <w:pPr>
              <w:pStyle w:val="13"/>
            </w:pPr>
            <w:r>
              <w:t>0.05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4611.32</w:t>
            </w:r>
          </w:p>
        </w:tc>
        <w:tc>
          <w:tcPr>
            <w:tcW w:w="3402" w:type="dxa"/>
            <w:vAlign w:val="center"/>
          </w:tcPr>
          <w:p>
            <w:pPr>
              <w:pStyle w:val="16"/>
            </w:pPr>
            <w:r>
              <w:t>本年支出合计</w:t>
            </w:r>
          </w:p>
        </w:tc>
        <w:tc>
          <w:tcPr>
            <w:tcW w:w="1474" w:type="dxa"/>
            <w:vAlign w:val="center"/>
          </w:tcPr>
          <w:p>
            <w:pPr>
              <w:pStyle w:val="17"/>
            </w:pPr>
            <w:r>
              <w:t>4611.32</w:t>
            </w:r>
          </w:p>
        </w:tc>
        <w:tc>
          <w:tcPr>
            <w:tcW w:w="1474" w:type="dxa"/>
            <w:vAlign w:val="center"/>
          </w:tcPr>
          <w:p>
            <w:pPr>
              <w:pStyle w:val="17"/>
            </w:pPr>
            <w:r>
              <w:t>3317.09</w:t>
            </w:r>
          </w:p>
        </w:tc>
        <w:tc>
          <w:tcPr>
            <w:tcW w:w="1474" w:type="dxa"/>
            <w:vAlign w:val="center"/>
          </w:tcPr>
          <w:p>
            <w:pPr>
              <w:pStyle w:val="17"/>
            </w:pPr>
            <w:r>
              <w:t>1294.22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4611.32</w:t>
            </w:r>
          </w:p>
        </w:tc>
        <w:tc>
          <w:tcPr>
            <w:tcW w:w="3402" w:type="dxa"/>
            <w:vAlign w:val="center"/>
          </w:tcPr>
          <w:p>
            <w:pPr>
              <w:pStyle w:val="16"/>
            </w:pPr>
            <w:r>
              <w:t>支出总计</w:t>
            </w:r>
          </w:p>
        </w:tc>
        <w:tc>
          <w:tcPr>
            <w:tcW w:w="1474" w:type="dxa"/>
            <w:vAlign w:val="center"/>
          </w:tcPr>
          <w:p>
            <w:pPr>
              <w:pStyle w:val="17"/>
            </w:pPr>
            <w:r>
              <w:t>4611.32</w:t>
            </w:r>
          </w:p>
        </w:tc>
        <w:tc>
          <w:tcPr>
            <w:tcW w:w="1474" w:type="dxa"/>
            <w:vAlign w:val="center"/>
          </w:tcPr>
          <w:p>
            <w:pPr>
              <w:pStyle w:val="17"/>
            </w:pPr>
            <w:r>
              <w:t>3317.09</w:t>
            </w:r>
          </w:p>
        </w:tc>
        <w:tc>
          <w:tcPr>
            <w:tcW w:w="1474" w:type="dxa"/>
            <w:vAlign w:val="center"/>
          </w:tcPr>
          <w:p>
            <w:pPr>
              <w:pStyle w:val="17"/>
            </w:pPr>
            <w:r>
              <w:t>1294.22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3317.09</w:t>
            </w:r>
          </w:p>
        </w:tc>
        <w:tc>
          <w:tcPr>
            <w:tcW w:w="2551" w:type="dxa"/>
            <w:vAlign w:val="center"/>
          </w:tcPr>
          <w:p>
            <w:pPr>
              <w:pStyle w:val="17"/>
            </w:pPr>
            <w:r>
              <w:t>322.11</w:t>
            </w:r>
          </w:p>
        </w:tc>
        <w:tc>
          <w:tcPr>
            <w:tcW w:w="2551" w:type="dxa"/>
            <w:vAlign w:val="center"/>
          </w:tcPr>
          <w:p>
            <w:pPr>
              <w:pStyle w:val="17"/>
            </w:pPr>
            <w:r>
              <w:t>2994.98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305.16</w:t>
            </w:r>
          </w:p>
        </w:tc>
        <w:tc>
          <w:tcPr>
            <w:tcW w:w="2551" w:type="dxa"/>
            <w:vAlign w:val="center"/>
          </w:tcPr>
          <w:p>
            <w:pPr>
              <w:pStyle w:val="13"/>
            </w:pPr>
            <w:r>
              <w:t>251.56</w:t>
            </w:r>
          </w:p>
        </w:tc>
        <w:tc>
          <w:tcPr>
            <w:tcW w:w="2551" w:type="dxa"/>
            <w:vAlign w:val="center"/>
          </w:tcPr>
          <w:p>
            <w:pPr>
              <w:pStyle w:val="13"/>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302.16</w:t>
            </w:r>
          </w:p>
        </w:tc>
        <w:tc>
          <w:tcPr>
            <w:tcW w:w="2551" w:type="dxa"/>
            <w:vAlign w:val="center"/>
          </w:tcPr>
          <w:p>
            <w:pPr>
              <w:pStyle w:val="13"/>
            </w:pPr>
            <w:r>
              <w:t>251.56</w:t>
            </w:r>
          </w:p>
        </w:tc>
        <w:tc>
          <w:tcPr>
            <w:tcW w:w="2551" w:type="dxa"/>
            <w:vAlign w:val="center"/>
          </w:tcPr>
          <w:p>
            <w:pPr>
              <w:pStyle w:val="13"/>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251.56</w:t>
            </w:r>
          </w:p>
        </w:tc>
        <w:tc>
          <w:tcPr>
            <w:tcW w:w="2551" w:type="dxa"/>
            <w:vAlign w:val="center"/>
          </w:tcPr>
          <w:p>
            <w:pPr>
              <w:pStyle w:val="13"/>
            </w:pPr>
            <w:r>
              <w:t>251.56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2010608</w:t>
            </w:r>
          </w:p>
        </w:tc>
        <w:tc>
          <w:tcPr>
            <w:tcW w:w="4535" w:type="dxa"/>
            <w:vAlign w:val="center"/>
          </w:tcPr>
          <w:p>
            <w:pPr>
              <w:pStyle w:val="14"/>
            </w:pPr>
            <w:r>
              <w:t>财政委托业务支出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2010699</w:t>
            </w:r>
          </w:p>
        </w:tc>
        <w:tc>
          <w:tcPr>
            <w:tcW w:w="4535" w:type="dxa"/>
            <w:vAlign w:val="center"/>
          </w:tcPr>
          <w:p>
            <w:pPr>
              <w:pStyle w:val="14"/>
            </w:pPr>
            <w:r>
              <w:t>其他财政事务支出</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224.48</w:t>
            </w:r>
          </w:p>
        </w:tc>
        <w:tc>
          <w:tcPr>
            <w:tcW w:w="2551" w:type="dxa"/>
            <w:vAlign w:val="center"/>
          </w:tcPr>
          <w:p>
            <w:pPr>
              <w:pStyle w:val="13"/>
            </w:pPr>
            <w:r>
              <w:t>24.48</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24.48</w:t>
            </w:r>
          </w:p>
        </w:tc>
        <w:tc>
          <w:tcPr>
            <w:tcW w:w="2551" w:type="dxa"/>
            <w:vAlign w:val="center"/>
          </w:tcPr>
          <w:p>
            <w:pPr>
              <w:pStyle w:val="13"/>
            </w:pPr>
            <w:r>
              <w:t>24.48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24.48</w:t>
            </w:r>
          </w:p>
        </w:tc>
        <w:tc>
          <w:tcPr>
            <w:tcW w:w="2551" w:type="dxa"/>
            <w:vAlign w:val="center"/>
          </w:tcPr>
          <w:p>
            <w:pPr>
              <w:pStyle w:val="13"/>
            </w:pPr>
            <w:r>
              <w:t>24.48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25.89</w:t>
            </w:r>
          </w:p>
        </w:tc>
        <w:tc>
          <w:tcPr>
            <w:tcW w:w="2551" w:type="dxa"/>
            <w:vAlign w:val="center"/>
          </w:tcPr>
          <w:p>
            <w:pPr>
              <w:pStyle w:val="13"/>
            </w:pPr>
            <w:r>
              <w:t>25.89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25.89</w:t>
            </w:r>
          </w:p>
        </w:tc>
        <w:tc>
          <w:tcPr>
            <w:tcW w:w="2551" w:type="dxa"/>
            <w:vAlign w:val="center"/>
          </w:tcPr>
          <w:p>
            <w:pPr>
              <w:pStyle w:val="13"/>
            </w:pPr>
            <w:r>
              <w:t>25.89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10.71</w:t>
            </w:r>
          </w:p>
        </w:tc>
        <w:tc>
          <w:tcPr>
            <w:tcW w:w="2551" w:type="dxa"/>
            <w:vAlign w:val="center"/>
          </w:tcPr>
          <w:p>
            <w:pPr>
              <w:pStyle w:val="13"/>
            </w:pPr>
            <w:r>
              <w:t>10.71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2130803</w:t>
            </w:r>
          </w:p>
        </w:tc>
        <w:tc>
          <w:tcPr>
            <w:tcW w:w="4535" w:type="dxa"/>
            <w:vAlign w:val="center"/>
          </w:tcPr>
          <w:p>
            <w:pPr>
              <w:pStyle w:val="14"/>
            </w:pPr>
            <w:r>
              <w:t>农业保险保费补贴</w:t>
            </w:r>
          </w:p>
        </w:tc>
        <w:tc>
          <w:tcPr>
            <w:tcW w:w="2551" w:type="dxa"/>
            <w:vAlign w:val="center"/>
          </w:tcPr>
          <w:p>
            <w:pPr>
              <w:pStyle w:val="13"/>
            </w:pPr>
            <w:r>
              <w:t>64.99</w:t>
            </w:r>
          </w:p>
        </w:tc>
        <w:tc>
          <w:tcPr>
            <w:tcW w:w="2551" w:type="dxa"/>
            <w:vAlign w:val="center"/>
          </w:tcPr>
          <w:p>
            <w:pPr>
              <w:pStyle w:val="13"/>
            </w:pPr>
          </w:p>
        </w:tc>
        <w:tc>
          <w:tcPr>
            <w:tcW w:w="2551"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20.18</w:t>
            </w:r>
          </w:p>
        </w:tc>
        <w:tc>
          <w:tcPr>
            <w:tcW w:w="2551" w:type="dxa"/>
            <w:vAlign w:val="center"/>
          </w:tcPr>
          <w:p>
            <w:pPr>
              <w:pStyle w:val="13"/>
            </w:pPr>
            <w:r>
              <w:t>20.18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227</w:t>
            </w:r>
          </w:p>
        </w:tc>
        <w:tc>
          <w:tcPr>
            <w:tcW w:w="4535" w:type="dxa"/>
            <w:vAlign w:val="center"/>
          </w:tcPr>
          <w:p>
            <w:pPr>
              <w:pStyle w:val="14"/>
            </w:pPr>
            <w:r>
              <w:t>预备费</w:t>
            </w:r>
          </w:p>
        </w:tc>
        <w:tc>
          <w:tcPr>
            <w:tcW w:w="2551" w:type="dxa"/>
            <w:vAlign w:val="center"/>
          </w:tcPr>
          <w:p>
            <w:pPr>
              <w:pStyle w:val="13"/>
            </w:pPr>
            <w:r>
              <w:t>400.00</w:t>
            </w:r>
          </w:p>
        </w:tc>
        <w:tc>
          <w:tcPr>
            <w:tcW w:w="2551" w:type="dxa"/>
            <w:vAlign w:val="center"/>
          </w:tcPr>
          <w:p>
            <w:pPr>
              <w:pStyle w:val="13"/>
            </w:pPr>
          </w:p>
        </w:tc>
        <w:tc>
          <w:tcPr>
            <w:tcW w:w="2551"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22902</w:t>
            </w:r>
          </w:p>
        </w:tc>
        <w:tc>
          <w:tcPr>
            <w:tcW w:w="4535" w:type="dxa"/>
            <w:vAlign w:val="center"/>
          </w:tcPr>
          <w:p>
            <w:pPr>
              <w:pStyle w:val="14"/>
            </w:pPr>
            <w:r>
              <w:t>年初预留</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231</w:t>
            </w:r>
          </w:p>
        </w:tc>
        <w:tc>
          <w:tcPr>
            <w:tcW w:w="4535" w:type="dxa"/>
            <w:vAlign w:val="center"/>
          </w:tcPr>
          <w:p>
            <w:pPr>
              <w:pStyle w:val="14"/>
            </w:pPr>
            <w:r>
              <w:t>债务还本支出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23103</w:t>
            </w:r>
          </w:p>
        </w:tc>
        <w:tc>
          <w:tcPr>
            <w:tcW w:w="4535" w:type="dxa"/>
            <w:vAlign w:val="center"/>
          </w:tcPr>
          <w:p>
            <w:pPr>
              <w:pStyle w:val="14"/>
            </w:pPr>
            <w:r>
              <w:t>地方政府一般债务还本支出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2310301</w:t>
            </w:r>
          </w:p>
        </w:tc>
        <w:tc>
          <w:tcPr>
            <w:tcW w:w="4535" w:type="dxa"/>
            <w:vAlign w:val="center"/>
          </w:tcPr>
          <w:p>
            <w:pPr>
              <w:pStyle w:val="14"/>
            </w:pPr>
            <w:r>
              <w:t>地方政府一般债券还本支出</w:t>
            </w:r>
          </w:p>
        </w:tc>
        <w:tc>
          <w:tcPr>
            <w:tcW w:w="2551" w:type="dxa"/>
            <w:vAlign w:val="center"/>
          </w:tcPr>
          <w:p>
            <w:pPr>
              <w:pStyle w:val="13"/>
            </w:pPr>
            <w:r>
              <w:t>693.00</w:t>
            </w:r>
          </w:p>
        </w:tc>
        <w:tc>
          <w:tcPr>
            <w:tcW w:w="2551" w:type="dxa"/>
            <w:vAlign w:val="center"/>
          </w:tcPr>
          <w:p>
            <w:pPr>
              <w:pStyle w:val="13"/>
            </w:pPr>
          </w:p>
        </w:tc>
        <w:tc>
          <w:tcPr>
            <w:tcW w:w="2551" w:type="dxa"/>
            <w:vAlign w:val="center"/>
          </w:tcPr>
          <w:p>
            <w:pPr>
              <w:pStyle w:val="13"/>
            </w:pPr>
            <w: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232</w:t>
            </w:r>
          </w:p>
        </w:tc>
        <w:tc>
          <w:tcPr>
            <w:tcW w:w="4535" w:type="dxa"/>
            <w:vAlign w:val="center"/>
          </w:tcPr>
          <w:p>
            <w:pPr>
              <w:pStyle w:val="14"/>
            </w:pPr>
            <w:r>
              <w:t>债务付息支出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23203</w:t>
            </w:r>
          </w:p>
        </w:tc>
        <w:tc>
          <w:tcPr>
            <w:tcW w:w="4535" w:type="dxa"/>
            <w:vAlign w:val="center"/>
          </w:tcPr>
          <w:p>
            <w:pPr>
              <w:pStyle w:val="14"/>
            </w:pPr>
            <w:r>
              <w:t>地方政府一般债务付息支出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2320301</w:t>
            </w:r>
          </w:p>
        </w:tc>
        <w:tc>
          <w:tcPr>
            <w:tcW w:w="4535" w:type="dxa"/>
            <w:vAlign w:val="center"/>
          </w:tcPr>
          <w:p>
            <w:pPr>
              <w:pStyle w:val="14"/>
            </w:pPr>
            <w:r>
              <w:t>地方政府一般债券付息支出</w:t>
            </w:r>
          </w:p>
        </w:tc>
        <w:tc>
          <w:tcPr>
            <w:tcW w:w="2551" w:type="dxa"/>
            <w:vAlign w:val="center"/>
          </w:tcPr>
          <w:p>
            <w:pPr>
              <w:pStyle w:val="13"/>
            </w:pPr>
            <w:r>
              <w:t>876.54</w:t>
            </w:r>
          </w:p>
        </w:tc>
        <w:tc>
          <w:tcPr>
            <w:tcW w:w="2551" w:type="dxa"/>
            <w:vAlign w:val="center"/>
          </w:tcPr>
          <w:p>
            <w:pPr>
              <w:pStyle w:val="13"/>
            </w:pPr>
          </w:p>
        </w:tc>
        <w:tc>
          <w:tcPr>
            <w:tcW w:w="2551" w:type="dxa"/>
            <w:vAlign w:val="center"/>
          </w:tcPr>
          <w:p>
            <w:pPr>
              <w:pStyle w:val="13"/>
            </w:pPr>
            <w:r>
              <w:t>876.54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233</w:t>
            </w:r>
          </w:p>
        </w:tc>
        <w:tc>
          <w:tcPr>
            <w:tcW w:w="4535" w:type="dxa"/>
            <w:vAlign w:val="center"/>
          </w:tcPr>
          <w:p>
            <w:pPr>
              <w:pStyle w:val="14"/>
            </w:pPr>
            <w:r>
              <w:t>债务发行费用支出</w:t>
            </w:r>
          </w:p>
        </w:tc>
        <w:tc>
          <w:tcPr>
            <w:tcW w:w="2551" w:type="dxa"/>
            <w:vAlign w:val="center"/>
          </w:tcPr>
          <w:p>
            <w:pPr>
              <w:pStyle w:val="13"/>
            </w:pPr>
            <w:r>
              <w:t>6.86</w:t>
            </w:r>
          </w:p>
        </w:tc>
        <w:tc>
          <w:tcPr>
            <w:tcW w:w="2551" w:type="dxa"/>
            <w:vAlign w:val="center"/>
          </w:tcPr>
          <w:p>
            <w:pPr>
              <w:pStyle w:val="13"/>
            </w:pPr>
          </w:p>
        </w:tc>
        <w:tc>
          <w:tcPr>
            <w:tcW w:w="2551" w:type="dxa"/>
            <w:vAlign w:val="center"/>
          </w:tcPr>
          <w:p>
            <w:pPr>
              <w:pStyle w:val="13"/>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23303</w:t>
            </w:r>
          </w:p>
        </w:tc>
        <w:tc>
          <w:tcPr>
            <w:tcW w:w="4535" w:type="dxa"/>
            <w:vAlign w:val="center"/>
          </w:tcPr>
          <w:p>
            <w:pPr>
              <w:pStyle w:val="14"/>
            </w:pPr>
            <w:r>
              <w:t>地方政府一般债务发行费用支出</w:t>
            </w:r>
          </w:p>
        </w:tc>
        <w:tc>
          <w:tcPr>
            <w:tcW w:w="2551" w:type="dxa"/>
            <w:vAlign w:val="center"/>
          </w:tcPr>
          <w:p>
            <w:pPr>
              <w:pStyle w:val="13"/>
            </w:pPr>
            <w:r>
              <w:t>6.86</w:t>
            </w:r>
          </w:p>
        </w:tc>
        <w:tc>
          <w:tcPr>
            <w:tcW w:w="2551" w:type="dxa"/>
            <w:vAlign w:val="center"/>
          </w:tcPr>
          <w:p>
            <w:pPr>
              <w:pStyle w:val="13"/>
            </w:pPr>
          </w:p>
        </w:tc>
        <w:tc>
          <w:tcPr>
            <w:tcW w:w="2551" w:type="dxa"/>
            <w:vAlign w:val="center"/>
          </w:tcPr>
          <w:p>
            <w:pPr>
              <w:pStyle w:val="13"/>
            </w:pPr>
            <w:r>
              <w:t>6.86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322.11</w:t>
            </w:r>
          </w:p>
        </w:tc>
        <w:tc>
          <w:tcPr>
            <w:tcW w:w="2551" w:type="dxa"/>
            <w:vAlign w:val="center"/>
          </w:tcPr>
          <w:p>
            <w:pPr>
              <w:pStyle w:val="17"/>
            </w:pPr>
            <w:r>
              <w:t>290.10</w:t>
            </w:r>
          </w:p>
        </w:tc>
        <w:tc>
          <w:tcPr>
            <w:tcW w:w="2552" w:type="dxa"/>
            <w:vAlign w:val="center"/>
          </w:tcPr>
          <w:p>
            <w:pPr>
              <w:pStyle w:val="17"/>
            </w:pPr>
            <w: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243.85</w:t>
            </w:r>
          </w:p>
        </w:tc>
        <w:tc>
          <w:tcPr>
            <w:tcW w:w="2551" w:type="dxa"/>
            <w:vAlign w:val="center"/>
          </w:tcPr>
          <w:p>
            <w:pPr>
              <w:pStyle w:val="13"/>
            </w:pPr>
            <w:r>
              <w:t>243.85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83.92</w:t>
            </w:r>
          </w:p>
        </w:tc>
        <w:tc>
          <w:tcPr>
            <w:tcW w:w="2551" w:type="dxa"/>
            <w:vAlign w:val="center"/>
          </w:tcPr>
          <w:p>
            <w:pPr>
              <w:pStyle w:val="13"/>
            </w:pPr>
            <w:r>
              <w:t>83.92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33.26</w:t>
            </w:r>
          </w:p>
        </w:tc>
        <w:tc>
          <w:tcPr>
            <w:tcW w:w="2551" w:type="dxa"/>
            <w:vAlign w:val="center"/>
          </w:tcPr>
          <w:p>
            <w:pPr>
              <w:pStyle w:val="13"/>
            </w:pPr>
            <w:r>
              <w:t>33.26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31.76</w:t>
            </w:r>
          </w:p>
        </w:tc>
        <w:tc>
          <w:tcPr>
            <w:tcW w:w="2551" w:type="dxa"/>
            <w:vAlign w:val="center"/>
          </w:tcPr>
          <w:p>
            <w:pPr>
              <w:pStyle w:val="13"/>
            </w:pPr>
            <w:r>
              <w:t>31.76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19.29</w:t>
            </w:r>
          </w:p>
        </w:tc>
        <w:tc>
          <w:tcPr>
            <w:tcW w:w="2551" w:type="dxa"/>
            <w:vAlign w:val="center"/>
          </w:tcPr>
          <w:p>
            <w:pPr>
              <w:pStyle w:val="13"/>
            </w:pPr>
            <w:r>
              <w:t>19.29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17.59</w:t>
            </w:r>
          </w:p>
        </w:tc>
        <w:tc>
          <w:tcPr>
            <w:tcW w:w="2551" w:type="dxa"/>
            <w:vAlign w:val="center"/>
          </w:tcPr>
          <w:p>
            <w:pPr>
              <w:pStyle w:val="13"/>
            </w:pPr>
            <w:r>
              <w:t>17.59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8.80</w:t>
            </w:r>
          </w:p>
        </w:tc>
        <w:tc>
          <w:tcPr>
            <w:tcW w:w="2551" w:type="dxa"/>
            <w:vAlign w:val="center"/>
          </w:tcPr>
          <w:p>
            <w:pPr>
              <w:pStyle w:val="13"/>
            </w:pPr>
            <w:r>
              <w:t>8.80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10.71</w:t>
            </w:r>
          </w:p>
        </w:tc>
        <w:tc>
          <w:tcPr>
            <w:tcW w:w="2551" w:type="dxa"/>
            <w:vAlign w:val="center"/>
          </w:tcPr>
          <w:p>
            <w:pPr>
              <w:pStyle w:val="13"/>
            </w:pPr>
            <w:r>
              <w:t>10.71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7.27</w:t>
            </w:r>
          </w:p>
        </w:tc>
        <w:tc>
          <w:tcPr>
            <w:tcW w:w="2551" w:type="dxa"/>
            <w:vAlign w:val="center"/>
          </w:tcPr>
          <w:p>
            <w:pPr>
              <w:pStyle w:val="13"/>
            </w:pPr>
            <w:r>
              <w:t>7.27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1.32</w:t>
            </w:r>
          </w:p>
        </w:tc>
        <w:tc>
          <w:tcPr>
            <w:tcW w:w="2551" w:type="dxa"/>
            <w:vAlign w:val="center"/>
          </w:tcPr>
          <w:p>
            <w:pPr>
              <w:pStyle w:val="13"/>
            </w:pPr>
            <w:r>
              <w:t>1.32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20.18</w:t>
            </w:r>
          </w:p>
        </w:tc>
        <w:tc>
          <w:tcPr>
            <w:tcW w:w="2551" w:type="dxa"/>
            <w:vAlign w:val="center"/>
          </w:tcPr>
          <w:p>
            <w:pPr>
              <w:pStyle w:val="13"/>
            </w:pPr>
            <w:r>
              <w:t>20.18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9.75</w:t>
            </w:r>
          </w:p>
        </w:tc>
        <w:tc>
          <w:tcPr>
            <w:tcW w:w="2551" w:type="dxa"/>
            <w:vAlign w:val="center"/>
          </w:tcPr>
          <w:p>
            <w:pPr>
              <w:pStyle w:val="13"/>
            </w:pPr>
            <w:r>
              <w:t>9.75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32.01</w:t>
            </w:r>
          </w:p>
        </w:tc>
        <w:tc>
          <w:tcPr>
            <w:tcW w:w="2551" w:type="dxa"/>
            <w:vAlign w:val="center"/>
          </w:tcPr>
          <w:p>
            <w:pPr>
              <w:pStyle w:val="13"/>
            </w:pPr>
          </w:p>
        </w:tc>
        <w:tc>
          <w:tcPr>
            <w:tcW w:w="2552" w:type="dxa"/>
            <w:vAlign w:val="center"/>
          </w:tcPr>
          <w:p>
            <w:pPr>
              <w:pStyle w:val="13"/>
            </w:pPr>
            <w:r>
              <w:t>32.01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3.26</w:t>
            </w:r>
          </w:p>
        </w:tc>
        <w:tc>
          <w:tcPr>
            <w:tcW w:w="2551" w:type="dxa"/>
            <w:vAlign w:val="center"/>
          </w:tcPr>
          <w:p>
            <w:pPr>
              <w:pStyle w:val="13"/>
            </w:pPr>
          </w:p>
        </w:tc>
        <w:tc>
          <w:tcPr>
            <w:tcW w:w="2552" w:type="dxa"/>
            <w:vAlign w:val="center"/>
          </w:tcPr>
          <w:p>
            <w:pPr>
              <w:pStyle w:val="13"/>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0.15</w:t>
            </w:r>
          </w:p>
        </w:tc>
        <w:tc>
          <w:tcPr>
            <w:tcW w:w="2551" w:type="dxa"/>
            <w:vAlign w:val="center"/>
          </w:tcPr>
          <w:p>
            <w:pPr>
              <w:pStyle w:val="13"/>
            </w:pPr>
          </w:p>
        </w:tc>
        <w:tc>
          <w:tcPr>
            <w:tcW w:w="2552"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2.10</w:t>
            </w:r>
          </w:p>
        </w:tc>
        <w:tc>
          <w:tcPr>
            <w:tcW w:w="2551" w:type="dxa"/>
            <w:vAlign w:val="center"/>
          </w:tcPr>
          <w:p>
            <w:pPr>
              <w:pStyle w:val="13"/>
            </w:pPr>
          </w:p>
        </w:tc>
        <w:tc>
          <w:tcPr>
            <w:tcW w:w="2552"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4.26</w:t>
            </w:r>
          </w:p>
        </w:tc>
        <w:tc>
          <w:tcPr>
            <w:tcW w:w="2551" w:type="dxa"/>
            <w:vAlign w:val="center"/>
          </w:tcPr>
          <w:p>
            <w:pPr>
              <w:pStyle w:val="13"/>
            </w:pPr>
          </w:p>
        </w:tc>
        <w:tc>
          <w:tcPr>
            <w:tcW w:w="2552" w:type="dxa"/>
            <w:vAlign w:val="center"/>
          </w:tcPr>
          <w:p>
            <w:pPr>
              <w:pStyle w:val="13"/>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2.42</w:t>
            </w:r>
          </w:p>
        </w:tc>
        <w:tc>
          <w:tcPr>
            <w:tcW w:w="2551" w:type="dxa"/>
            <w:vAlign w:val="center"/>
          </w:tcPr>
          <w:p>
            <w:pPr>
              <w:pStyle w:val="13"/>
            </w:pPr>
          </w:p>
        </w:tc>
        <w:tc>
          <w:tcPr>
            <w:tcW w:w="2552"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0.45</w:t>
            </w:r>
          </w:p>
        </w:tc>
        <w:tc>
          <w:tcPr>
            <w:tcW w:w="2551" w:type="dxa"/>
            <w:vAlign w:val="center"/>
          </w:tcPr>
          <w:p>
            <w:pPr>
              <w:pStyle w:val="13"/>
            </w:pPr>
          </w:p>
        </w:tc>
        <w:tc>
          <w:tcPr>
            <w:tcW w:w="2552"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3.06</w:t>
            </w:r>
          </w:p>
        </w:tc>
        <w:tc>
          <w:tcPr>
            <w:tcW w:w="2551" w:type="dxa"/>
            <w:vAlign w:val="center"/>
          </w:tcPr>
          <w:p>
            <w:pPr>
              <w:pStyle w:val="13"/>
            </w:pPr>
          </w:p>
        </w:tc>
        <w:tc>
          <w:tcPr>
            <w:tcW w:w="2552"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2.10</w:t>
            </w:r>
          </w:p>
        </w:tc>
        <w:tc>
          <w:tcPr>
            <w:tcW w:w="2551" w:type="dxa"/>
            <w:vAlign w:val="center"/>
          </w:tcPr>
          <w:p>
            <w:pPr>
              <w:pStyle w:val="13"/>
            </w:pPr>
          </w:p>
        </w:tc>
        <w:tc>
          <w:tcPr>
            <w:tcW w:w="2552"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4.02</w:t>
            </w:r>
          </w:p>
        </w:tc>
        <w:tc>
          <w:tcPr>
            <w:tcW w:w="2551" w:type="dxa"/>
            <w:vAlign w:val="center"/>
          </w:tcPr>
          <w:p>
            <w:pPr>
              <w:pStyle w:val="13"/>
            </w:pPr>
          </w:p>
        </w:tc>
        <w:tc>
          <w:tcPr>
            <w:tcW w:w="2552"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0.23</w:t>
            </w:r>
          </w:p>
        </w:tc>
        <w:tc>
          <w:tcPr>
            <w:tcW w:w="2551" w:type="dxa"/>
            <w:vAlign w:val="center"/>
          </w:tcPr>
          <w:p>
            <w:pPr>
              <w:pStyle w:val="13"/>
            </w:pPr>
          </w:p>
        </w:tc>
        <w:tc>
          <w:tcPr>
            <w:tcW w:w="2552"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46.25</w:t>
            </w:r>
          </w:p>
        </w:tc>
        <w:tc>
          <w:tcPr>
            <w:tcW w:w="2551" w:type="dxa"/>
            <w:vAlign w:val="center"/>
          </w:tcPr>
          <w:p>
            <w:pPr>
              <w:pStyle w:val="13"/>
            </w:pPr>
            <w:r>
              <w:t>46.25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38.34</w:t>
            </w:r>
          </w:p>
        </w:tc>
        <w:tc>
          <w:tcPr>
            <w:tcW w:w="2551" w:type="dxa"/>
            <w:vAlign w:val="center"/>
          </w:tcPr>
          <w:p>
            <w:pPr>
              <w:pStyle w:val="13"/>
            </w:pPr>
            <w:r>
              <w:t>38.34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7.91</w:t>
            </w:r>
          </w:p>
        </w:tc>
        <w:tc>
          <w:tcPr>
            <w:tcW w:w="2551" w:type="dxa"/>
            <w:vAlign w:val="center"/>
          </w:tcPr>
          <w:p>
            <w:pPr>
              <w:pStyle w:val="13"/>
            </w:pPr>
            <w:r>
              <w:t>7.91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1294.22</w:t>
            </w:r>
          </w:p>
        </w:tc>
        <w:tc>
          <w:tcPr>
            <w:tcW w:w="2551" w:type="dxa"/>
            <w:vAlign w:val="center"/>
          </w:tcPr>
          <w:p>
            <w:pPr>
              <w:pStyle w:val="17"/>
            </w:pPr>
          </w:p>
        </w:tc>
        <w:tc>
          <w:tcPr>
            <w:tcW w:w="2551" w:type="dxa"/>
            <w:vAlign w:val="center"/>
          </w:tcPr>
          <w:p>
            <w:pPr>
              <w:pStyle w:val="17"/>
            </w:pPr>
            <w:r>
              <w:t>1294.22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203.47</w:t>
            </w:r>
          </w:p>
        </w:tc>
        <w:tc>
          <w:tcPr>
            <w:tcW w:w="2551" w:type="dxa"/>
            <w:vAlign w:val="center"/>
          </w:tcPr>
          <w:p>
            <w:pPr>
              <w:pStyle w:val="13"/>
            </w:pPr>
          </w:p>
        </w:tc>
        <w:tc>
          <w:tcPr>
            <w:tcW w:w="2551" w:type="dxa"/>
            <w:vAlign w:val="center"/>
          </w:tcPr>
          <w:p>
            <w:pPr>
              <w:pStyle w:val="13"/>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232</w:t>
            </w:r>
          </w:p>
        </w:tc>
        <w:tc>
          <w:tcPr>
            <w:tcW w:w="4535" w:type="dxa"/>
            <w:vAlign w:val="center"/>
          </w:tcPr>
          <w:p>
            <w:pPr>
              <w:pStyle w:val="14"/>
            </w:pPr>
            <w:r>
              <w:t>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23204</w:t>
            </w:r>
          </w:p>
        </w:tc>
        <w:tc>
          <w:tcPr>
            <w:tcW w:w="4535" w:type="dxa"/>
            <w:vAlign w:val="center"/>
          </w:tcPr>
          <w:p>
            <w:pPr>
              <w:pStyle w:val="14"/>
            </w:pPr>
            <w:r>
              <w:t>地方政府专项债务付息支出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2320411</w:t>
            </w:r>
          </w:p>
        </w:tc>
        <w:tc>
          <w:tcPr>
            <w:tcW w:w="4535" w:type="dxa"/>
            <w:vAlign w:val="center"/>
          </w:tcPr>
          <w:p>
            <w:pPr>
              <w:pStyle w:val="14"/>
            </w:pPr>
            <w:r>
              <w:t>国有土地使用权出让金债务付息支出</w:t>
            </w:r>
          </w:p>
        </w:tc>
        <w:tc>
          <w:tcPr>
            <w:tcW w:w="2551" w:type="dxa"/>
            <w:vAlign w:val="center"/>
          </w:tcPr>
          <w:p>
            <w:pPr>
              <w:pStyle w:val="13"/>
            </w:pPr>
            <w:r>
              <w:t>1090.70</w:t>
            </w:r>
          </w:p>
        </w:tc>
        <w:tc>
          <w:tcPr>
            <w:tcW w:w="2551" w:type="dxa"/>
            <w:vAlign w:val="center"/>
          </w:tcPr>
          <w:p>
            <w:pPr>
              <w:pStyle w:val="13"/>
            </w:pPr>
          </w:p>
        </w:tc>
        <w:tc>
          <w:tcPr>
            <w:tcW w:w="2551" w:type="dxa"/>
            <w:vAlign w:val="center"/>
          </w:tcPr>
          <w:p>
            <w:pPr>
              <w:pStyle w:val="13"/>
            </w:pPr>
            <w:r>
              <w:t>1090.70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233</w:t>
            </w:r>
          </w:p>
        </w:tc>
        <w:tc>
          <w:tcPr>
            <w:tcW w:w="4535" w:type="dxa"/>
            <w:vAlign w:val="center"/>
          </w:tcPr>
          <w:p>
            <w:pPr>
              <w:pStyle w:val="14"/>
            </w:pPr>
            <w:r>
              <w:t>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23304</w:t>
            </w:r>
          </w:p>
        </w:tc>
        <w:tc>
          <w:tcPr>
            <w:tcW w:w="4535" w:type="dxa"/>
            <w:vAlign w:val="center"/>
          </w:tcPr>
          <w:p>
            <w:pPr>
              <w:pStyle w:val="14"/>
            </w:pPr>
            <w:r>
              <w:t>地方政府专项债务发行费用支出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2330411</w:t>
            </w:r>
          </w:p>
        </w:tc>
        <w:tc>
          <w:tcPr>
            <w:tcW w:w="4535" w:type="dxa"/>
            <w:vAlign w:val="center"/>
          </w:tcPr>
          <w:p>
            <w:pPr>
              <w:pStyle w:val="14"/>
            </w:pPr>
            <w:r>
              <w:t>国有土地使用权出让金债务发行费用支出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河北唐山芦台经济开发区财政局2022年部门预算信息公开情况说明</w:t>
      </w:r>
    </w:p>
    <w:p>
      <w:pPr>
        <w:jc w:val="center"/>
      </w:pPr>
      <w:r>
        <w:rPr>
          <w:rFonts w:ascii="方正小标宋_GBK" w:hAnsi="方正小标宋_GBK" w:eastAsia="方正小标宋_GBK" w:cs="方正小标宋_GBK"/>
          <w:color w:val="000000"/>
          <w:sz w:val="44"/>
        </w:rPr>
        <w:t>河北唐山芦台经济开发区财政局2022年部门预算信息公开情况说明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按照《预算法》、《地方预决算公开操作规程》和《关于进一步推进预算公开工作的实施意见》规定，现将河北唐山芦台经济开发区财政局2022年部门预算公开如下：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szCs w:val="28"/>
        </w:rPr>
      </w:pPr>
      <w:r>
        <w:rPr>
          <w:rFonts w:hint="eastAsia" w:eastAsia="方正仿宋_GBK"/>
          <w:sz w:val="28"/>
          <w:szCs w:val="28"/>
        </w:rPr>
        <w:t>1</w:t>
      </w:r>
      <w:r>
        <w:rPr>
          <w:rFonts w:hint="eastAsia" w:ascii="方正仿宋_GBK" w:eastAsia="方正仿宋_GBK"/>
          <w:sz w:val="28"/>
          <w:szCs w:val="28"/>
        </w:rPr>
        <w:t>、贯彻执行国家财政、税收、宏观经济等各项方针政策，参与拟定全区各项宏观经济政策，拟定和执行全区财政、税收的发展战略、方针政策、中长期规划、改革方案及其他有关政策，提出运用财税政策实施宏观调控和综合平衡社会财力的建议，拟定和执行区对乡及国家与企业的分配政策。</w:t>
      </w:r>
    </w:p>
    <w:p>
      <w:pPr>
        <w:spacing w:line="500" w:lineRule="exact"/>
        <w:ind w:firstLine="560" w:firstLineChars="200"/>
        <w:rPr>
          <w:rFonts w:eastAsia="方正仿宋_GBK"/>
          <w:sz w:val="28"/>
          <w:szCs w:val="28"/>
        </w:rPr>
      </w:pPr>
      <w:r>
        <w:rPr>
          <w:rFonts w:hint="eastAsia" w:eastAsia="方正仿宋_GBK"/>
          <w:sz w:val="28"/>
          <w:szCs w:val="28"/>
        </w:rPr>
        <w:t>2</w:t>
      </w:r>
      <w:r>
        <w:rPr>
          <w:rFonts w:hint="eastAsia" w:ascii="方正仿宋_GBK" w:eastAsia="方正仿宋_GBK"/>
          <w:sz w:val="28"/>
          <w:szCs w:val="28"/>
        </w:rPr>
        <w:t>、贯彻执行国家及省、市财政、财务、会计管理及行政事业单位国有资产管理的法律、法规、规章及各项方针政策，拟定全区财政、财务、会计管理及行政事业单位国有资产管理的规范性文件。</w:t>
      </w:r>
    </w:p>
    <w:p>
      <w:pPr>
        <w:spacing w:line="500" w:lineRule="exact"/>
        <w:ind w:firstLine="560" w:firstLineChars="200"/>
        <w:rPr>
          <w:rFonts w:eastAsia="方正仿宋_GBK"/>
          <w:sz w:val="28"/>
          <w:szCs w:val="28"/>
        </w:rPr>
      </w:pPr>
      <w:r>
        <w:rPr>
          <w:rFonts w:hint="eastAsia" w:eastAsia="方正仿宋_GBK"/>
          <w:sz w:val="28"/>
          <w:szCs w:val="28"/>
        </w:rPr>
        <w:t>3</w:t>
      </w:r>
      <w:r>
        <w:rPr>
          <w:rFonts w:hint="eastAsia" w:ascii="方正仿宋_GBK" w:eastAsia="方正仿宋_GBK"/>
          <w:sz w:val="28"/>
          <w:szCs w:val="28"/>
        </w:rPr>
        <w:t>、编制年度区预决算草案并组织执行。受区人民政府委托，向区人民代表大会报告全区和区级预算及其执行情况，向区人大常委会报告区预决算。深化部门预算改革，组织制定经费开支标准、定额，负责审核批复部门</w:t>
      </w:r>
      <w:r>
        <w:rPr>
          <w:rFonts w:hint="eastAsia" w:eastAsia="方正仿宋_GBK"/>
          <w:sz w:val="28"/>
          <w:szCs w:val="28"/>
        </w:rPr>
        <w:t>(</w:t>
      </w:r>
      <w:r>
        <w:rPr>
          <w:rFonts w:hint="eastAsia" w:ascii="方正仿宋_GBK" w:eastAsia="方正仿宋_GBK"/>
          <w:sz w:val="28"/>
          <w:szCs w:val="28"/>
        </w:rPr>
        <w:t>单位</w:t>
      </w:r>
      <w:r>
        <w:rPr>
          <w:rFonts w:hint="eastAsia" w:eastAsia="方正仿宋_GBK"/>
          <w:sz w:val="28"/>
          <w:szCs w:val="28"/>
        </w:rPr>
        <w:t>)</w:t>
      </w:r>
      <w:r>
        <w:rPr>
          <w:rFonts w:hint="eastAsia" w:ascii="方正仿宋_GBK" w:eastAsia="方正仿宋_GBK"/>
          <w:sz w:val="28"/>
          <w:szCs w:val="28"/>
        </w:rPr>
        <w:t>的年度预决算。完善转移支付制度。</w:t>
      </w:r>
    </w:p>
    <w:p>
      <w:pPr>
        <w:spacing w:line="500" w:lineRule="exact"/>
        <w:ind w:firstLine="560" w:firstLineChars="200"/>
        <w:rPr>
          <w:rFonts w:eastAsia="方正仿宋_GBK"/>
          <w:sz w:val="28"/>
          <w:szCs w:val="28"/>
        </w:rPr>
      </w:pPr>
      <w:r>
        <w:rPr>
          <w:rFonts w:hint="eastAsia" w:eastAsia="方正仿宋_GBK"/>
          <w:sz w:val="28"/>
          <w:szCs w:val="28"/>
        </w:rPr>
        <w:t>4</w:t>
      </w:r>
      <w:r>
        <w:rPr>
          <w:rFonts w:hint="eastAsia" w:ascii="方正仿宋_GBK" w:eastAsia="方正仿宋_GBK"/>
          <w:sz w:val="28"/>
          <w:szCs w:val="28"/>
        </w:rPr>
        <w:t>、负责政府非税收入管理，负责政府性基金管理及预算编制，按规定管理行政事业性收费。管理财政票据。拟定地方彩票管理制度，管理彩票市场，按规定管理彩票资金。负责煤炭可持续发展基金的管理和稽查。</w:t>
      </w:r>
    </w:p>
    <w:p>
      <w:pPr>
        <w:spacing w:line="500" w:lineRule="exact"/>
        <w:ind w:firstLine="560" w:firstLineChars="200"/>
        <w:rPr>
          <w:rFonts w:eastAsia="方正仿宋_GBK"/>
          <w:sz w:val="28"/>
          <w:szCs w:val="28"/>
        </w:rPr>
      </w:pPr>
      <w:r>
        <w:rPr>
          <w:rFonts w:hint="eastAsia" w:eastAsia="方正仿宋_GBK"/>
          <w:sz w:val="28"/>
          <w:szCs w:val="28"/>
        </w:rPr>
        <w:t>5</w:t>
      </w:r>
      <w:r>
        <w:rPr>
          <w:rFonts w:hint="eastAsia" w:ascii="方正仿宋_GBK" w:eastAsia="方正仿宋_GBK"/>
          <w:sz w:val="28"/>
          <w:szCs w:val="28"/>
        </w:rPr>
        <w:t>、贯彻执行国库管理制度、国库集中收付制度，推行区级财政国库集中收付制度并进行监督管理，指导全区推行财政国库集中收付制度工作。负责审核和编制汇总全区财政总决算和部门决算。负责管理区财政银行账户和区级预算单位银行账户。制定地方国库现金采购制度并监督管理，编制区级政府采购预算。</w:t>
      </w:r>
    </w:p>
    <w:p>
      <w:pPr>
        <w:spacing w:line="500" w:lineRule="exact"/>
        <w:ind w:firstLine="560" w:firstLineChars="200"/>
        <w:rPr>
          <w:rFonts w:eastAsia="方正仿宋_GBK"/>
          <w:sz w:val="28"/>
          <w:szCs w:val="28"/>
        </w:rPr>
      </w:pPr>
      <w:r>
        <w:rPr>
          <w:rFonts w:hint="eastAsia" w:eastAsia="方正仿宋_GBK"/>
          <w:sz w:val="28"/>
          <w:szCs w:val="28"/>
        </w:rPr>
        <w:t>6</w:t>
      </w:r>
      <w:r>
        <w:rPr>
          <w:rFonts w:hint="eastAsia" w:ascii="方正仿宋_GBK" w:eastAsia="方正仿宋_GBK"/>
          <w:sz w:val="28"/>
          <w:szCs w:val="28"/>
        </w:rPr>
        <w:t>、提出地方税收征管建议，参与拟定地方税收规范性文件工作，研究提出地方税收征管的调整建议。</w:t>
      </w:r>
    </w:p>
    <w:p>
      <w:pPr>
        <w:spacing w:line="500" w:lineRule="exact"/>
        <w:ind w:firstLine="560" w:firstLineChars="200"/>
        <w:rPr>
          <w:rFonts w:eastAsia="方正仿宋_GBK"/>
          <w:sz w:val="28"/>
          <w:szCs w:val="28"/>
        </w:rPr>
      </w:pPr>
      <w:r>
        <w:rPr>
          <w:rFonts w:hint="eastAsia" w:eastAsia="方正仿宋_GBK"/>
          <w:sz w:val="28"/>
          <w:szCs w:val="28"/>
        </w:rPr>
        <w:t>7</w:t>
      </w:r>
      <w:r>
        <w:rPr>
          <w:rFonts w:hint="eastAsia" w:ascii="方正仿宋_GBK" w:eastAsia="方正仿宋_GBK"/>
          <w:sz w:val="28"/>
          <w:szCs w:val="28"/>
        </w:rPr>
        <w:t>、拟定并组织实施全区行政事业单位国有资产及其收益管理的规章制度，建立行政事业单位国有资产配置、整合、调剂、共享、共用机制，负责管理区级行政事业单位国有资产及其收益，审核批复区级行政事业单位国有资产配置、处置、产权界定等事项。</w:t>
      </w:r>
    </w:p>
    <w:p>
      <w:pPr>
        <w:spacing w:line="500" w:lineRule="exact"/>
        <w:ind w:firstLine="560" w:firstLineChars="200"/>
        <w:rPr>
          <w:rFonts w:eastAsia="方正仿宋_GBK"/>
          <w:sz w:val="28"/>
          <w:szCs w:val="28"/>
        </w:rPr>
      </w:pPr>
      <w:r>
        <w:rPr>
          <w:rFonts w:hint="eastAsia" w:eastAsia="方正仿宋_GBK"/>
          <w:sz w:val="28"/>
          <w:szCs w:val="28"/>
        </w:rPr>
        <w:t>8</w:t>
      </w:r>
      <w:r>
        <w:rPr>
          <w:rFonts w:hint="eastAsia" w:ascii="方正仿宋_GBK" w:eastAsia="方正仿宋_GBK"/>
          <w:sz w:val="28"/>
          <w:szCs w:val="28"/>
        </w:rPr>
        <w:t>、制定全区国有资本经营预算的制度和办法，负责审核和汇总编制国有资本经营预决算草案，收取区级企业国有资本收益，制定并组织实施企业财务制度，管理区属地方金融类企业国有资产，参与拟定企业国有资产管理相关制度，按规定管理资产评估工作。</w:t>
      </w:r>
    </w:p>
    <w:p>
      <w:pPr>
        <w:spacing w:line="500" w:lineRule="exact"/>
        <w:ind w:firstLine="560" w:firstLineChars="200"/>
        <w:rPr>
          <w:rFonts w:eastAsia="方正仿宋_GBK"/>
          <w:sz w:val="28"/>
          <w:szCs w:val="28"/>
        </w:rPr>
      </w:pPr>
      <w:r>
        <w:rPr>
          <w:rFonts w:hint="eastAsia" w:eastAsia="方正仿宋_GBK"/>
          <w:sz w:val="28"/>
          <w:szCs w:val="28"/>
        </w:rPr>
        <w:t>9</w:t>
      </w:r>
      <w:r>
        <w:rPr>
          <w:rFonts w:hint="eastAsia" w:ascii="方正仿宋_GBK" w:eastAsia="方正仿宋_GBK"/>
          <w:sz w:val="28"/>
          <w:szCs w:val="28"/>
        </w:rPr>
        <w:t>、负责办理和监督区级财政的经济发展支出、区级政府性投资项目的财政拨款，参与拟定全区建设投资的有关政策，拟定基本建设财务制度，负责有关政策性补贴和专项储备资金财政管理工作。负责全区农业综合开发管理工作，指导和推动全区农村综合改革工作。</w:t>
      </w:r>
    </w:p>
    <w:p>
      <w:pPr>
        <w:spacing w:line="500" w:lineRule="exact"/>
        <w:ind w:firstLine="560" w:firstLineChars="200"/>
        <w:rPr>
          <w:rFonts w:ascii="方正楷体_GBK" w:eastAsia="方正楷体_GBK"/>
          <w:b/>
          <w:bCs/>
          <w:sz w:val="32"/>
          <w:szCs w:val="32"/>
        </w:rPr>
      </w:pPr>
      <w:r>
        <w:rPr>
          <w:rFonts w:hint="eastAsia" w:eastAsia="方正仿宋_GBK"/>
          <w:sz w:val="28"/>
          <w:szCs w:val="28"/>
        </w:rPr>
        <w:t>10</w:t>
      </w:r>
      <w:r>
        <w:rPr>
          <w:rFonts w:hint="eastAsia" w:ascii="方正仿宋_GBK" w:eastAsia="方正仿宋_GBK"/>
          <w:sz w:val="28"/>
          <w:szCs w:val="28"/>
        </w:rPr>
        <w:t>、会同有关部门管理区级财政社会保障和就业及医疗卫生支出，会同有关部门拟定社会保障资金</w:t>
      </w:r>
      <w:r>
        <w:rPr>
          <w:rFonts w:hint="eastAsia" w:eastAsia="方正仿宋_GBK"/>
          <w:sz w:val="28"/>
          <w:szCs w:val="28"/>
        </w:rPr>
        <w:t>(</w:t>
      </w:r>
      <w:r>
        <w:rPr>
          <w:rFonts w:hint="eastAsia" w:ascii="方正仿宋_GBK" w:eastAsia="方正仿宋_GBK"/>
          <w:sz w:val="28"/>
          <w:szCs w:val="28"/>
        </w:rPr>
        <w:t>基金</w:t>
      </w:r>
      <w:r>
        <w:rPr>
          <w:rFonts w:hint="eastAsia" w:eastAsia="方正仿宋_GBK"/>
          <w:sz w:val="28"/>
          <w:szCs w:val="28"/>
        </w:rPr>
        <w:t>)</w:t>
      </w:r>
      <w:r>
        <w:rPr>
          <w:rFonts w:hint="eastAsia" w:ascii="方正仿宋_GBK" w:eastAsia="方正仿宋_GBK"/>
          <w:sz w:val="28"/>
          <w:szCs w:val="28"/>
        </w:rPr>
        <w:t>的财务管理制度，编制区社会保障预决算草案。</w:t>
      </w:r>
    </w:p>
    <w:p>
      <w:pPr>
        <w:pStyle w:val="19"/>
        <w:rPr>
          <w:b/>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lang w:eastAsia="zh-CN"/>
              </w:rPr>
            </w:pPr>
            <w:r>
              <w:t>河北唐山芦台经济开发区财政局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按照预算管理有关规定，目前我省部门预算的编制实行综合预算管理，即全部收入和支出都反映在预算中。河北唐山芦台经济开发区财政局机关及所属事业单位的收支包含在部门预算中。</w:t>
      </w:r>
    </w:p>
    <w:p>
      <w:pPr>
        <w:numPr>
          <w:ilvl w:val="0"/>
          <w:numId w:val="1"/>
        </w:numPr>
        <w:shd w:val="clear" w:color="auto" w:fill="FFFFFF"/>
        <w:ind w:firstLine="643" w:firstLineChars="200"/>
        <w:rPr>
          <w:rFonts w:ascii="方正楷体简体" w:eastAsia="方正楷体简体" w:cs="Tahoma"/>
          <w:b/>
          <w:bCs/>
          <w:color w:val="000000"/>
          <w:sz w:val="32"/>
          <w:szCs w:val="32"/>
        </w:rPr>
      </w:pPr>
      <w:r>
        <w:rPr>
          <w:rFonts w:hint="eastAsia" w:ascii="方正楷体简体" w:eastAsia="方正楷体简体" w:cs="Tahoma"/>
          <w:b/>
          <w:bCs/>
          <w:color w:val="000000"/>
          <w:sz w:val="32"/>
          <w:szCs w:val="32"/>
        </w:rPr>
        <w:t>收入说明</w:t>
      </w:r>
    </w:p>
    <w:p>
      <w:pPr>
        <w:shd w:val="clear" w:color="auto" w:fill="FFFFFF"/>
        <w:ind w:firstLine="640" w:firstLineChars="200"/>
        <w:rPr>
          <w:rFonts w:ascii="黑体" w:eastAsia="黑体" w:cs="Tahoma"/>
          <w:b/>
          <w:bCs/>
          <w:color w:val="000000"/>
          <w:sz w:val="32"/>
          <w:szCs w:val="32"/>
        </w:rPr>
      </w:pPr>
      <w:r>
        <w:rPr>
          <w:rFonts w:hint="eastAsia" w:ascii="方正仿宋简体" w:eastAsia="方正仿宋简体" w:cs="Tahoma"/>
          <w:color w:val="000000"/>
          <w:sz w:val="32"/>
          <w:szCs w:val="32"/>
        </w:rPr>
        <w:t>2021年财政局财政补助拨款收入</w:t>
      </w:r>
      <w:r>
        <w:rPr>
          <w:rFonts w:hint="eastAsia" w:ascii="方正仿宋简体" w:eastAsia="方正仿宋简体" w:cs="Tahoma"/>
          <w:color w:val="000000"/>
          <w:sz w:val="32"/>
          <w:szCs w:val="32"/>
          <w:lang w:eastAsia="zh-CN"/>
        </w:rPr>
        <w:t>4611.32</w:t>
      </w:r>
      <w:r>
        <w:rPr>
          <w:rFonts w:hint="eastAsia" w:ascii="方正仿宋简体" w:eastAsia="方正仿宋简体" w:cs="Tahoma"/>
          <w:color w:val="000000"/>
          <w:sz w:val="32"/>
          <w:szCs w:val="32"/>
        </w:rPr>
        <w:t>万元，其中一般公共预算拨款收入为</w:t>
      </w:r>
      <w:r>
        <w:rPr>
          <w:rFonts w:hint="eastAsia" w:ascii="方正仿宋简体" w:eastAsia="方正仿宋简体" w:cs="Tahoma"/>
          <w:color w:val="000000"/>
          <w:sz w:val="32"/>
          <w:szCs w:val="32"/>
          <w:lang w:eastAsia="zh-CN"/>
        </w:rPr>
        <w:t>3317.09</w:t>
      </w:r>
      <w:r>
        <w:rPr>
          <w:rFonts w:hint="eastAsia" w:ascii="方正仿宋简体" w:eastAsia="方正仿宋简体" w:cs="Tahoma"/>
          <w:color w:val="000000"/>
          <w:sz w:val="32"/>
          <w:szCs w:val="32"/>
        </w:rPr>
        <w:t>万元，政府性基金预算财政拨款收入</w:t>
      </w:r>
      <w:r>
        <w:rPr>
          <w:rFonts w:hint="eastAsia" w:ascii="方正仿宋简体" w:eastAsia="方正仿宋简体" w:cs="Tahoma"/>
          <w:color w:val="000000"/>
          <w:sz w:val="32"/>
          <w:szCs w:val="32"/>
          <w:lang w:eastAsia="zh-CN"/>
        </w:rPr>
        <w:t>1294.22</w:t>
      </w:r>
      <w:r>
        <w:rPr>
          <w:rFonts w:hint="eastAsia" w:ascii="方正仿宋简体" w:eastAsia="方正仿宋简体" w:cs="Tahoma"/>
          <w:color w:val="000000"/>
          <w:sz w:val="32"/>
          <w:szCs w:val="32"/>
        </w:rPr>
        <w:t>万元。</w:t>
      </w:r>
    </w:p>
    <w:p>
      <w:pPr>
        <w:shd w:val="clear" w:color="auto" w:fill="FFFFFF"/>
        <w:ind w:firstLine="643" w:firstLineChars="200"/>
        <w:rPr>
          <w:rFonts w:ascii="方正楷体简体" w:eastAsia="方正楷体简体" w:cs="Tahoma"/>
          <w:b/>
          <w:bCs/>
          <w:color w:val="000000"/>
          <w:sz w:val="32"/>
          <w:szCs w:val="32"/>
        </w:rPr>
      </w:pPr>
      <w:r>
        <w:rPr>
          <w:rFonts w:hint="eastAsia" w:ascii="方正楷体简体" w:eastAsia="方正楷体简体" w:cs="Tahoma"/>
          <w:b/>
          <w:bCs/>
          <w:color w:val="000000"/>
          <w:sz w:val="32"/>
          <w:szCs w:val="32"/>
        </w:rPr>
        <w:t>2、支出说明</w:t>
      </w:r>
    </w:p>
    <w:p>
      <w:pPr>
        <w:shd w:val="clear" w:color="auto" w:fill="FFFFFF"/>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2021年财政局财政支出</w:t>
      </w:r>
      <w:r>
        <w:rPr>
          <w:rFonts w:hint="eastAsia" w:ascii="方正仿宋简体" w:eastAsia="方正仿宋简体" w:cs="Tahoma"/>
          <w:color w:val="000000"/>
          <w:sz w:val="32"/>
          <w:szCs w:val="32"/>
          <w:lang w:eastAsia="zh-CN"/>
        </w:rPr>
        <w:t>4611.32</w:t>
      </w:r>
      <w:r>
        <w:rPr>
          <w:rFonts w:hint="eastAsia" w:ascii="方正仿宋简体" w:eastAsia="方正仿宋简体" w:cs="Tahoma"/>
          <w:color w:val="000000"/>
          <w:sz w:val="32"/>
          <w:szCs w:val="32"/>
        </w:rPr>
        <w:t>万元，其中一般公共预算拨款支出为</w:t>
      </w:r>
      <w:r>
        <w:rPr>
          <w:rFonts w:hint="eastAsia" w:ascii="方正仿宋简体" w:eastAsia="方正仿宋简体" w:cs="Tahoma"/>
          <w:color w:val="000000"/>
          <w:sz w:val="32"/>
          <w:szCs w:val="32"/>
          <w:lang w:eastAsia="zh-CN"/>
        </w:rPr>
        <w:t>3317.09</w:t>
      </w:r>
      <w:r>
        <w:rPr>
          <w:rFonts w:hint="eastAsia" w:ascii="方正仿宋简体" w:eastAsia="方正仿宋简体" w:cs="Tahoma"/>
          <w:color w:val="000000"/>
          <w:sz w:val="32"/>
          <w:szCs w:val="32"/>
        </w:rPr>
        <w:t>万元（其中人员经费</w:t>
      </w:r>
      <w:r>
        <w:rPr>
          <w:rFonts w:hint="eastAsia" w:ascii="方正仿宋简体" w:eastAsia="方正仿宋简体" w:cs="Tahoma"/>
          <w:color w:val="000000"/>
          <w:sz w:val="32"/>
          <w:szCs w:val="32"/>
          <w:lang w:eastAsia="zh-CN"/>
        </w:rPr>
        <w:t>290.1</w:t>
      </w:r>
      <w:r>
        <w:rPr>
          <w:rFonts w:hint="eastAsia" w:ascii="方正仿宋简体" w:eastAsia="方正仿宋简体" w:cs="Tahoma"/>
          <w:color w:val="000000"/>
          <w:sz w:val="32"/>
          <w:szCs w:val="32"/>
        </w:rPr>
        <w:t>万元；公用经费</w:t>
      </w:r>
      <w:r>
        <w:rPr>
          <w:rFonts w:hint="eastAsia" w:ascii="方正仿宋简体" w:eastAsia="方正仿宋简体" w:cs="Tahoma"/>
          <w:color w:val="000000"/>
          <w:sz w:val="32"/>
          <w:szCs w:val="32"/>
          <w:lang w:eastAsia="zh-CN"/>
        </w:rPr>
        <w:t>32.01</w:t>
      </w:r>
      <w:r>
        <w:rPr>
          <w:rFonts w:hint="eastAsia" w:ascii="方正仿宋简体" w:eastAsia="方正仿宋简体" w:cs="Tahoma"/>
          <w:color w:val="000000"/>
          <w:sz w:val="32"/>
          <w:szCs w:val="32"/>
        </w:rPr>
        <w:t>万元；专项经费支出</w:t>
      </w:r>
      <w:r>
        <w:rPr>
          <w:rFonts w:hint="eastAsia" w:ascii="方正仿宋简体" w:eastAsia="方正仿宋简体" w:cs="Tahoma"/>
          <w:color w:val="000000"/>
          <w:sz w:val="32"/>
          <w:szCs w:val="32"/>
          <w:lang w:eastAsia="zh-CN"/>
        </w:rPr>
        <w:t>2994.98</w:t>
      </w:r>
      <w:r>
        <w:rPr>
          <w:rFonts w:hint="eastAsia" w:ascii="方正仿宋简体" w:eastAsia="方正仿宋简体" w:cs="Tahoma"/>
          <w:color w:val="000000"/>
          <w:sz w:val="32"/>
          <w:szCs w:val="32"/>
        </w:rPr>
        <w:t>万元），政府性基金预算财政拨款支出</w:t>
      </w:r>
      <w:r>
        <w:rPr>
          <w:rFonts w:hint="eastAsia" w:ascii="方正仿宋简体" w:eastAsia="方正仿宋简体" w:cs="Tahoma"/>
          <w:color w:val="000000"/>
          <w:sz w:val="32"/>
          <w:szCs w:val="32"/>
          <w:lang w:eastAsia="zh-CN"/>
        </w:rPr>
        <w:t>1294.22</w:t>
      </w:r>
      <w:r>
        <w:rPr>
          <w:rFonts w:hint="eastAsia" w:ascii="方正仿宋简体" w:eastAsia="方正仿宋简体" w:cs="Tahoma"/>
          <w:color w:val="000000"/>
          <w:sz w:val="32"/>
          <w:szCs w:val="32"/>
        </w:rPr>
        <w:t>万元。</w:t>
      </w:r>
    </w:p>
    <w:p>
      <w:pPr>
        <w:shd w:val="clear" w:color="auto" w:fill="FFFFFF"/>
        <w:ind w:firstLine="643" w:firstLineChars="200"/>
        <w:rPr>
          <w:rFonts w:ascii="方正楷体简体" w:eastAsia="方正楷体简体" w:cs="Tahoma"/>
          <w:b/>
          <w:bCs/>
          <w:color w:val="000000"/>
          <w:sz w:val="32"/>
          <w:szCs w:val="32"/>
        </w:rPr>
      </w:pPr>
      <w:r>
        <w:rPr>
          <w:rFonts w:hint="eastAsia" w:ascii="方正楷体简体" w:eastAsia="方正楷体简体" w:cs="Tahoma"/>
          <w:b/>
          <w:bCs/>
          <w:color w:val="000000"/>
          <w:sz w:val="32"/>
          <w:szCs w:val="32"/>
        </w:rPr>
        <w:t>3、比上年增减情况</w:t>
      </w:r>
    </w:p>
    <w:p>
      <w:pPr>
        <w:spacing w:line="500" w:lineRule="exact"/>
        <w:ind w:firstLine="640" w:firstLineChars="200"/>
        <w:rPr>
          <w:rFonts w:eastAsia="方正仿宋_GBK" w:cs="宋体"/>
          <w:kern w:val="2"/>
          <w:sz w:val="28"/>
          <w:szCs w:val="28"/>
          <w:lang w:eastAsia="zh-CN"/>
        </w:rPr>
      </w:pP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年比</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年一般公共预算预算拨款减少</w:t>
      </w:r>
      <w:r>
        <w:rPr>
          <w:rFonts w:hint="eastAsia" w:ascii="方正仿宋简体" w:eastAsia="方正仿宋简体" w:cs="Tahoma"/>
          <w:color w:val="000000"/>
          <w:sz w:val="32"/>
          <w:szCs w:val="32"/>
          <w:lang w:eastAsia="zh-CN"/>
        </w:rPr>
        <w:t>2592.76</w:t>
      </w:r>
      <w:r>
        <w:rPr>
          <w:rFonts w:hint="eastAsia" w:ascii="方正仿宋简体" w:eastAsia="方正仿宋简体" w:cs="Tahoma"/>
          <w:color w:val="000000"/>
          <w:sz w:val="32"/>
          <w:szCs w:val="32"/>
        </w:rPr>
        <w:t>万元；其中人员经费</w:t>
      </w:r>
      <w:r>
        <w:rPr>
          <w:rFonts w:hint="eastAsia" w:ascii="方正仿宋简体" w:eastAsia="方正仿宋简体" w:cs="Tahoma"/>
          <w:color w:val="000000"/>
          <w:sz w:val="32"/>
          <w:szCs w:val="32"/>
          <w:lang w:eastAsia="zh-CN"/>
        </w:rPr>
        <w:t>增加4.98</w:t>
      </w:r>
      <w:r>
        <w:rPr>
          <w:rFonts w:hint="eastAsia" w:ascii="方正仿宋简体" w:eastAsia="方正仿宋简体" w:cs="Tahoma"/>
          <w:color w:val="000000"/>
          <w:sz w:val="32"/>
          <w:szCs w:val="32"/>
        </w:rPr>
        <w:t>万元，原因是</w:t>
      </w:r>
      <w:r>
        <w:rPr>
          <w:rFonts w:hint="eastAsia" w:ascii="方正仿宋简体" w:eastAsia="方正仿宋简体" w:cs="Tahoma"/>
          <w:color w:val="000000"/>
          <w:sz w:val="32"/>
          <w:szCs w:val="32"/>
          <w:lang w:eastAsia="zh-CN"/>
        </w:rPr>
        <w:t>2021年人员增加</w:t>
      </w:r>
      <w:r>
        <w:rPr>
          <w:rFonts w:hint="eastAsia" w:ascii="方正仿宋简体" w:eastAsia="方正仿宋简体" w:cs="Tahoma"/>
          <w:color w:val="000000"/>
          <w:sz w:val="32"/>
          <w:szCs w:val="32"/>
        </w:rPr>
        <w:t>；公用经费</w:t>
      </w:r>
      <w:r>
        <w:rPr>
          <w:rFonts w:hint="eastAsia" w:ascii="方正仿宋简体" w:eastAsia="方正仿宋简体" w:cs="Tahoma"/>
          <w:color w:val="000000"/>
          <w:sz w:val="32"/>
          <w:szCs w:val="32"/>
          <w:lang w:eastAsia="zh-CN"/>
        </w:rPr>
        <w:t>增加5.97</w:t>
      </w:r>
      <w:r>
        <w:rPr>
          <w:rFonts w:hint="eastAsia" w:ascii="方正仿宋简体" w:eastAsia="方正仿宋简体" w:cs="Tahoma"/>
          <w:color w:val="000000"/>
          <w:sz w:val="32"/>
          <w:szCs w:val="32"/>
        </w:rPr>
        <w:t>万元；专项经费支出减少</w:t>
      </w:r>
      <w:r>
        <w:rPr>
          <w:rFonts w:hint="eastAsia" w:ascii="方正仿宋简体" w:eastAsia="方正仿宋简体" w:cs="Tahoma"/>
          <w:color w:val="000000"/>
          <w:sz w:val="32"/>
          <w:szCs w:val="32"/>
          <w:lang w:eastAsia="zh-CN"/>
        </w:rPr>
        <w:t>2603.71</w:t>
      </w:r>
      <w:r>
        <w:rPr>
          <w:rFonts w:hint="eastAsia" w:ascii="方正仿宋简体" w:eastAsia="方正仿宋简体" w:cs="Tahoma"/>
          <w:color w:val="000000"/>
          <w:sz w:val="32"/>
          <w:szCs w:val="32"/>
        </w:rPr>
        <w:t>万元，主要原因是</w:t>
      </w:r>
      <w:r>
        <w:rPr>
          <w:rFonts w:hint="eastAsia" w:ascii="方正仿宋简体" w:eastAsia="方正仿宋简体" w:cs="Tahoma"/>
          <w:color w:val="000000"/>
          <w:sz w:val="32"/>
          <w:szCs w:val="32"/>
          <w:lang w:eastAsia="zh-CN"/>
        </w:rPr>
        <w:t>2022年预算细化，非预算单位项目不再通过财政局进行核算。</w:t>
      </w:r>
    </w:p>
    <w:p>
      <w:pPr>
        <w:spacing w:line="500" w:lineRule="exact"/>
        <w:ind w:firstLine="560"/>
        <w:rPr>
          <w:lang w:eastAsia="zh-CN"/>
        </w:rPr>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hd w:val="clear" w:color="auto" w:fill="FFFFFF"/>
        <w:ind w:firstLine="600"/>
        <w:rPr>
          <w:rFonts w:ascii="方正仿宋简体" w:eastAsia="方正仿宋简体" w:cs="Tahoma"/>
          <w:color w:val="000000"/>
          <w:sz w:val="32"/>
          <w:szCs w:val="32"/>
        </w:rPr>
      </w:pPr>
      <w:r>
        <w:rPr>
          <w:rFonts w:hint="eastAsia" w:ascii="方正仿宋简体" w:eastAsia="方正仿宋简体" w:cs="Tahoma"/>
          <w:color w:val="000000"/>
          <w:sz w:val="32"/>
          <w:szCs w:val="32"/>
        </w:rPr>
        <w:t>2021年财政局共安排机关运行经费</w:t>
      </w:r>
      <w:r>
        <w:rPr>
          <w:rFonts w:hint="eastAsia" w:ascii="方正仿宋简体" w:eastAsia="方正仿宋简体" w:cs="Tahoma"/>
          <w:color w:val="000000"/>
          <w:sz w:val="32"/>
          <w:szCs w:val="32"/>
          <w:lang w:eastAsia="zh-CN"/>
        </w:rPr>
        <w:t>32.01</w:t>
      </w:r>
      <w:r>
        <w:rPr>
          <w:rFonts w:hint="eastAsia" w:ascii="方正仿宋简体" w:eastAsia="方正仿宋简体" w:cs="Tahoma"/>
          <w:color w:val="000000"/>
          <w:sz w:val="32"/>
          <w:szCs w:val="32"/>
        </w:rPr>
        <w:t>万元，主要包括以下项目：</w:t>
      </w:r>
    </w:p>
    <w:p>
      <w:pPr>
        <w:shd w:val="clear" w:color="auto" w:fill="FFFFFF"/>
        <w:ind w:firstLine="600"/>
        <w:rPr>
          <w:rFonts w:eastAsia="方正仿宋_GBK" w:cs="宋体"/>
          <w:kern w:val="2"/>
          <w:sz w:val="28"/>
          <w:szCs w:val="28"/>
        </w:rPr>
      </w:pPr>
      <w:r>
        <w:rPr>
          <w:rFonts w:hint="eastAsia" w:ascii="方正仿宋简体" w:eastAsia="方正仿宋简体" w:cs="Tahoma"/>
          <w:color w:val="000000"/>
          <w:sz w:val="32"/>
          <w:szCs w:val="32"/>
        </w:rPr>
        <w:t>其他交通费</w:t>
      </w:r>
      <w:r>
        <w:rPr>
          <w:rFonts w:hint="eastAsia" w:ascii="方正仿宋简体" w:eastAsia="方正仿宋简体" w:cs="Tahoma"/>
          <w:color w:val="000000"/>
          <w:sz w:val="32"/>
          <w:szCs w:val="32"/>
          <w:lang w:eastAsia="zh-CN"/>
        </w:rPr>
        <w:t>4.02</w:t>
      </w:r>
      <w:r>
        <w:rPr>
          <w:rFonts w:hint="eastAsia" w:ascii="方正仿宋简体" w:eastAsia="方正仿宋简体" w:cs="Tahoma"/>
          <w:color w:val="000000"/>
          <w:sz w:val="32"/>
          <w:szCs w:val="32"/>
        </w:rPr>
        <w:t>万元，福利费</w:t>
      </w:r>
      <w:r>
        <w:rPr>
          <w:rFonts w:hint="eastAsia" w:ascii="方正仿宋简体" w:eastAsia="方正仿宋简体" w:cs="Tahoma"/>
          <w:color w:val="000000"/>
          <w:sz w:val="32"/>
          <w:szCs w:val="32"/>
          <w:lang w:eastAsia="zh-CN"/>
        </w:rPr>
        <w:t>2.1</w:t>
      </w:r>
      <w:r>
        <w:rPr>
          <w:rFonts w:hint="eastAsia" w:ascii="方正仿宋简体" w:eastAsia="方正仿宋简体" w:cs="Tahoma"/>
          <w:color w:val="000000"/>
          <w:sz w:val="32"/>
          <w:szCs w:val="32"/>
        </w:rPr>
        <w:t>万元，办公费</w:t>
      </w:r>
      <w:r>
        <w:rPr>
          <w:rFonts w:hint="eastAsia" w:ascii="方正仿宋简体" w:eastAsia="方正仿宋简体" w:cs="Tahoma"/>
          <w:color w:val="000000"/>
          <w:sz w:val="32"/>
          <w:szCs w:val="32"/>
          <w:lang w:eastAsia="zh-CN"/>
        </w:rPr>
        <w:t>3.26</w:t>
      </w:r>
      <w:r>
        <w:rPr>
          <w:rFonts w:hint="eastAsia" w:ascii="方正仿宋简体" w:eastAsia="方正仿宋简体" w:cs="Tahoma"/>
          <w:color w:val="000000"/>
          <w:sz w:val="32"/>
          <w:szCs w:val="32"/>
        </w:rPr>
        <w:t>万元，水费</w:t>
      </w:r>
      <w:r>
        <w:rPr>
          <w:rFonts w:hint="eastAsia" w:ascii="方正仿宋简体" w:eastAsia="方正仿宋简体" w:cs="Tahoma"/>
          <w:color w:val="000000"/>
          <w:sz w:val="32"/>
          <w:szCs w:val="32"/>
          <w:lang w:eastAsia="zh-CN"/>
        </w:rPr>
        <w:t>0.15</w:t>
      </w:r>
      <w:r>
        <w:rPr>
          <w:rFonts w:hint="eastAsia" w:ascii="方正仿宋简体" w:eastAsia="方正仿宋简体" w:cs="Tahoma"/>
          <w:color w:val="000000"/>
          <w:sz w:val="32"/>
          <w:szCs w:val="32"/>
        </w:rPr>
        <w:t>万元，差旅费</w:t>
      </w:r>
      <w:r>
        <w:rPr>
          <w:rFonts w:hint="eastAsia" w:ascii="方正仿宋简体" w:eastAsia="方正仿宋简体" w:cs="Tahoma"/>
          <w:color w:val="000000"/>
          <w:sz w:val="32"/>
          <w:szCs w:val="32"/>
          <w:lang w:eastAsia="zh-CN"/>
        </w:rPr>
        <w:t>0.5</w:t>
      </w:r>
      <w:r>
        <w:rPr>
          <w:rFonts w:hint="eastAsia" w:ascii="方正仿宋简体" w:eastAsia="方正仿宋简体" w:cs="Tahoma"/>
          <w:color w:val="000000"/>
          <w:sz w:val="32"/>
          <w:szCs w:val="32"/>
        </w:rPr>
        <w:t>万元，会议费</w:t>
      </w:r>
      <w:r>
        <w:rPr>
          <w:rFonts w:hint="eastAsia" w:ascii="方正仿宋简体" w:eastAsia="方正仿宋简体" w:cs="Tahoma"/>
          <w:color w:val="000000"/>
          <w:sz w:val="32"/>
          <w:szCs w:val="32"/>
          <w:lang w:eastAsia="zh-CN"/>
        </w:rPr>
        <w:t>0.46</w:t>
      </w:r>
      <w:r>
        <w:rPr>
          <w:rFonts w:hint="eastAsia" w:ascii="方正仿宋简体" w:eastAsia="方正仿宋简体" w:cs="Tahoma"/>
          <w:color w:val="000000"/>
          <w:sz w:val="32"/>
          <w:szCs w:val="32"/>
        </w:rPr>
        <w:t>万元，取暖费</w:t>
      </w:r>
      <w:r>
        <w:rPr>
          <w:rFonts w:hint="eastAsia" w:ascii="方正仿宋简体" w:eastAsia="方正仿宋简体" w:cs="Tahoma"/>
          <w:color w:val="000000"/>
          <w:sz w:val="32"/>
          <w:szCs w:val="32"/>
          <w:lang w:eastAsia="zh-CN"/>
        </w:rPr>
        <w:t>2.42</w:t>
      </w:r>
      <w:r>
        <w:rPr>
          <w:rFonts w:hint="eastAsia" w:ascii="方正仿宋简体" w:eastAsia="方正仿宋简体" w:cs="Tahoma"/>
          <w:color w:val="000000"/>
          <w:sz w:val="32"/>
          <w:szCs w:val="32"/>
        </w:rPr>
        <w:t>万元，邮电费</w:t>
      </w:r>
      <w:r>
        <w:rPr>
          <w:rFonts w:hint="eastAsia" w:ascii="方正仿宋简体" w:eastAsia="方正仿宋简体" w:cs="Tahoma"/>
          <w:color w:val="000000"/>
          <w:sz w:val="32"/>
          <w:szCs w:val="32"/>
          <w:lang w:eastAsia="zh-CN"/>
        </w:rPr>
        <w:t>4.26</w:t>
      </w:r>
      <w:r>
        <w:rPr>
          <w:rFonts w:hint="eastAsia" w:ascii="方正仿宋简体" w:eastAsia="方正仿宋简体" w:cs="Tahoma"/>
          <w:color w:val="000000"/>
          <w:sz w:val="32"/>
          <w:szCs w:val="32"/>
        </w:rPr>
        <w:t>万元，工会经费</w:t>
      </w:r>
      <w:r>
        <w:rPr>
          <w:rFonts w:hint="eastAsia" w:ascii="方正仿宋简体" w:eastAsia="方正仿宋简体" w:cs="Tahoma"/>
          <w:color w:val="000000"/>
          <w:sz w:val="32"/>
          <w:szCs w:val="32"/>
          <w:lang w:eastAsia="zh-CN"/>
        </w:rPr>
        <w:t>3.06</w:t>
      </w:r>
      <w:r>
        <w:rPr>
          <w:rFonts w:hint="eastAsia" w:ascii="方正仿宋简体" w:eastAsia="方正仿宋简体" w:cs="Tahoma"/>
          <w:color w:val="000000"/>
          <w:sz w:val="32"/>
          <w:szCs w:val="32"/>
        </w:rPr>
        <w:t>万元，电费</w:t>
      </w:r>
      <w:r>
        <w:rPr>
          <w:rFonts w:hint="eastAsia" w:ascii="方正仿宋简体" w:eastAsia="方正仿宋简体" w:cs="Tahoma"/>
          <w:color w:val="000000"/>
          <w:sz w:val="32"/>
          <w:szCs w:val="32"/>
          <w:lang w:eastAsia="zh-CN"/>
        </w:rPr>
        <w:t>2.1</w:t>
      </w:r>
      <w:r>
        <w:rPr>
          <w:rFonts w:hint="eastAsia" w:ascii="方正仿宋简体" w:eastAsia="方正仿宋简体" w:cs="Tahoma"/>
          <w:color w:val="000000"/>
          <w:sz w:val="32"/>
          <w:szCs w:val="32"/>
        </w:rPr>
        <w:t>万元，其它商品和服务支出</w:t>
      </w:r>
      <w:r>
        <w:rPr>
          <w:rFonts w:hint="eastAsia" w:ascii="方正仿宋简体" w:eastAsia="方正仿宋简体" w:cs="Tahoma"/>
          <w:color w:val="000000"/>
          <w:sz w:val="32"/>
          <w:szCs w:val="32"/>
          <w:lang w:eastAsia="zh-CN"/>
        </w:rPr>
        <w:t>0.23</w:t>
      </w:r>
      <w:r>
        <w:rPr>
          <w:rFonts w:hint="eastAsia" w:ascii="方正仿宋简体" w:eastAsia="方正仿宋简体" w:cs="Tahoma"/>
          <w:color w:val="000000"/>
          <w:sz w:val="32"/>
          <w:szCs w:val="32"/>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hd w:val="clear" w:color="auto" w:fill="FFFFFF"/>
        <w:spacing w:line="580" w:lineRule="atLeast"/>
        <w:ind w:firstLine="640"/>
        <w:rPr>
          <w:rFonts w:ascii="方正仿宋简体" w:eastAsia="方正仿宋简体" w:cs="Tahoma"/>
          <w:color w:val="000000"/>
          <w:sz w:val="32"/>
          <w:szCs w:val="32"/>
        </w:rPr>
      </w:pP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年区财政局安排 “三公经费”0</w:t>
      </w:r>
      <w:r>
        <w:rPr>
          <w:rFonts w:hint="eastAsia" w:cs="Tahoma"/>
          <w:color w:val="000000"/>
          <w:sz w:val="32"/>
          <w:szCs w:val="32"/>
        </w:rPr>
        <w:t xml:space="preserve"> </w:t>
      </w:r>
      <w:r>
        <w:rPr>
          <w:rFonts w:hint="eastAsia" w:ascii="方正仿宋简体" w:eastAsia="方正仿宋简体" w:cs="Tahoma"/>
          <w:color w:val="000000"/>
          <w:sz w:val="32"/>
          <w:szCs w:val="32"/>
        </w:rPr>
        <w:t>万元，其中：</w:t>
      </w:r>
    </w:p>
    <w:p>
      <w:pPr>
        <w:shd w:val="clear" w:color="auto" w:fill="FFFFFF"/>
        <w:spacing w:line="580" w:lineRule="atLeast"/>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1. 公务用车购置及运行费</w:t>
      </w:r>
    </w:p>
    <w:p>
      <w:pPr>
        <w:spacing w:line="560" w:lineRule="exact"/>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①</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年公务用车购置费0万元，较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hd w:val="clear" w:color="auto" w:fill="FFFFFF"/>
        <w:spacing w:line="580" w:lineRule="atLeast"/>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②</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年公务用车运行维护经费0万元，较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pacing w:line="560" w:lineRule="exact"/>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 xml:space="preserve">2. </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年公务接待费0万元，较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spacing w:line="560" w:lineRule="exact"/>
        <w:ind w:firstLine="640" w:firstLineChars="200"/>
        <w:rPr>
          <w:rFonts w:ascii="方正仿宋简体" w:eastAsia="方正仿宋简体" w:cs="Tahoma"/>
          <w:color w:val="000000"/>
          <w:sz w:val="32"/>
          <w:szCs w:val="32"/>
        </w:rPr>
      </w:pPr>
      <w:r>
        <w:rPr>
          <w:rFonts w:hint="eastAsia" w:ascii="方正仿宋简体" w:eastAsia="方正仿宋简体" w:cs="Tahoma"/>
          <w:color w:val="000000"/>
          <w:sz w:val="32"/>
          <w:szCs w:val="32"/>
        </w:rPr>
        <w:t>3.</w:t>
      </w:r>
      <w:r>
        <w:rPr>
          <w:rFonts w:hint="eastAsia" w:ascii="方正仿宋简体" w:eastAsia="方正仿宋简体" w:cs="Tahoma"/>
          <w:color w:val="000000"/>
          <w:sz w:val="32"/>
          <w:szCs w:val="32"/>
          <w:lang w:eastAsia="zh-CN"/>
        </w:rPr>
        <w:t>2022</w:t>
      </w:r>
      <w:r>
        <w:rPr>
          <w:rFonts w:hint="eastAsia" w:ascii="方正仿宋简体" w:eastAsia="方正仿宋简体" w:cs="Tahoma"/>
          <w:color w:val="000000"/>
          <w:sz w:val="32"/>
          <w:szCs w:val="32"/>
        </w:rPr>
        <w:t>年因公出国（境）费0万元，较</w:t>
      </w:r>
      <w:r>
        <w:rPr>
          <w:rFonts w:hint="eastAsia" w:ascii="方正仿宋简体" w:eastAsia="方正仿宋简体" w:cs="Tahoma"/>
          <w:color w:val="000000"/>
          <w:sz w:val="32"/>
          <w:szCs w:val="32"/>
          <w:lang w:eastAsia="zh-CN"/>
        </w:rPr>
        <w:t>2021</w:t>
      </w:r>
      <w:r>
        <w:rPr>
          <w:rFonts w:hint="eastAsia" w:ascii="方正仿宋简体" w:eastAsia="方正仿宋简体" w:cs="Tahoma"/>
          <w:color w:val="000000"/>
          <w:sz w:val="32"/>
          <w:szCs w:val="32"/>
        </w:rPr>
        <w:t>年0万元，持平。</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r>
        <w:rPr>
          <w:rFonts w:eastAsia="方正仿宋_GBK"/>
          <w:color w:val="000000"/>
          <w:sz w:val="28"/>
        </w:rPr>
        <w:t>（一）总体绩效目标</w:t>
      </w:r>
    </w:p>
    <w:p>
      <w:pPr>
        <w:spacing w:before="213" w:line="326" w:lineRule="auto"/>
        <w:ind w:left="16" w:firstLine="648"/>
        <w:rPr>
          <w:rFonts w:ascii="仿宋" w:hAnsi="仿宋" w:eastAsia="仿宋"/>
          <w:sz w:val="32"/>
          <w:szCs w:val="32"/>
          <w:lang w:eastAsia="zh-CN"/>
        </w:rPr>
      </w:pPr>
      <w:r>
        <w:rPr>
          <w:rFonts w:hint="eastAsia" w:ascii="仿宋" w:hAnsi="仿宋" w:eastAsia="仿宋"/>
          <w:spacing w:val="-13"/>
          <w:sz w:val="32"/>
          <w:szCs w:val="32"/>
        </w:rPr>
        <w:t>负责政务信息的收集、整理、反馈工作；</w:t>
      </w:r>
      <w:r>
        <w:rPr>
          <w:rFonts w:hint="eastAsia" w:ascii="仿宋" w:hAnsi="仿宋" w:eastAsia="仿宋"/>
          <w:spacing w:val="57"/>
          <w:sz w:val="32"/>
          <w:szCs w:val="32"/>
        </w:rPr>
        <w:t xml:space="preserve"> </w:t>
      </w:r>
      <w:r>
        <w:rPr>
          <w:rFonts w:hint="eastAsia" w:ascii="仿宋" w:hAnsi="仿宋" w:eastAsia="仿宋"/>
          <w:spacing w:val="-13"/>
          <w:sz w:val="32"/>
          <w:szCs w:val="32"/>
        </w:rPr>
        <w:t>组织对办公室重要工作、</w:t>
      </w:r>
      <w:r>
        <w:rPr>
          <w:rFonts w:hint="eastAsia" w:ascii="仿宋" w:hAnsi="仿宋" w:eastAsia="仿宋"/>
          <w:sz w:val="32"/>
          <w:szCs w:val="32"/>
        </w:rPr>
        <w:t xml:space="preserve"> </w:t>
      </w:r>
      <w:r>
        <w:rPr>
          <w:rFonts w:hint="eastAsia" w:ascii="仿宋" w:hAnsi="仿宋" w:eastAsia="仿宋"/>
          <w:spacing w:val="1"/>
          <w:sz w:val="32"/>
          <w:szCs w:val="32"/>
        </w:rPr>
        <w:t>重大决策的调查研究，及时向区领导建议，当好参谋。负责全区系统办公自动化和区党工委、管委会公众信息网的规划、建设、协调、指</w:t>
      </w:r>
      <w:r>
        <w:rPr>
          <w:rFonts w:hint="eastAsia" w:ascii="仿宋" w:hAnsi="仿宋" w:eastAsia="仿宋"/>
          <w:spacing w:val="4"/>
          <w:sz w:val="32"/>
          <w:szCs w:val="32"/>
        </w:rPr>
        <w:t xml:space="preserve"> </w:t>
      </w:r>
      <w:r>
        <w:rPr>
          <w:rFonts w:hint="eastAsia" w:ascii="仿宋" w:hAnsi="仿宋" w:eastAsia="仿宋"/>
          <w:spacing w:val="1"/>
          <w:sz w:val="32"/>
          <w:szCs w:val="32"/>
        </w:rPr>
        <w:t>导工作。负责区党工委会议、党政班子联席会议会议、管委会专题会</w:t>
      </w:r>
      <w:r>
        <w:rPr>
          <w:rFonts w:hint="eastAsia" w:ascii="仿宋" w:hAnsi="仿宋" w:eastAsia="仿宋"/>
          <w:spacing w:val="25"/>
          <w:sz w:val="32"/>
          <w:szCs w:val="32"/>
        </w:rPr>
        <w:t xml:space="preserve"> </w:t>
      </w:r>
      <w:r>
        <w:rPr>
          <w:rFonts w:hint="eastAsia" w:ascii="仿宋" w:hAnsi="仿宋" w:eastAsia="仿宋"/>
          <w:spacing w:val="1"/>
          <w:sz w:val="32"/>
          <w:szCs w:val="32"/>
        </w:rPr>
        <w:t>议、组织的各种会议及活动的准备工作，协助区党工委、管委会领导</w:t>
      </w:r>
      <w:r>
        <w:rPr>
          <w:rFonts w:hint="eastAsia" w:ascii="仿宋" w:hAnsi="仿宋" w:eastAsia="仿宋"/>
          <w:spacing w:val="25"/>
          <w:sz w:val="32"/>
          <w:szCs w:val="32"/>
        </w:rPr>
        <w:t xml:space="preserve"> </w:t>
      </w:r>
      <w:r>
        <w:rPr>
          <w:rFonts w:hint="eastAsia" w:ascii="仿宋" w:hAnsi="仿宋" w:eastAsia="仿宋"/>
          <w:spacing w:val="1"/>
          <w:sz w:val="32"/>
          <w:szCs w:val="32"/>
        </w:rPr>
        <w:t>组织会议议定事项的实施。负责区文、电的起草、审核把关公文文书</w:t>
      </w:r>
      <w:r>
        <w:rPr>
          <w:rFonts w:hint="eastAsia" w:ascii="仿宋" w:hAnsi="仿宋" w:eastAsia="仿宋"/>
          <w:spacing w:val="25"/>
          <w:sz w:val="32"/>
          <w:szCs w:val="32"/>
        </w:rPr>
        <w:t xml:space="preserve"> </w:t>
      </w:r>
      <w:r>
        <w:rPr>
          <w:rFonts w:hint="eastAsia" w:ascii="仿宋" w:hAnsi="仿宋" w:eastAsia="仿宋"/>
          <w:spacing w:val="1"/>
          <w:sz w:val="32"/>
          <w:szCs w:val="32"/>
        </w:rPr>
        <w:t>处理工作，负责档案管理、印信管理和机要保密工作。负责组织区工</w:t>
      </w:r>
      <w:r>
        <w:rPr>
          <w:rFonts w:hint="eastAsia" w:ascii="仿宋" w:hAnsi="仿宋" w:eastAsia="仿宋"/>
          <w:spacing w:val="25"/>
          <w:sz w:val="32"/>
          <w:szCs w:val="32"/>
        </w:rPr>
        <w:t xml:space="preserve"> </w:t>
      </w:r>
      <w:r>
        <w:rPr>
          <w:rFonts w:hint="eastAsia" w:ascii="仿宋" w:hAnsi="仿宋" w:eastAsia="仿宋"/>
          <w:spacing w:val="1"/>
          <w:sz w:val="32"/>
          <w:szCs w:val="32"/>
        </w:rPr>
        <w:t>作总结、报告和领导重要讲话及其它重要文摘的起草、审核、修改工</w:t>
      </w:r>
      <w:r>
        <w:rPr>
          <w:rFonts w:hint="eastAsia" w:ascii="仿宋" w:hAnsi="仿宋" w:eastAsia="仿宋"/>
          <w:spacing w:val="25"/>
          <w:sz w:val="32"/>
          <w:szCs w:val="32"/>
        </w:rPr>
        <w:t xml:space="preserve"> </w:t>
      </w:r>
      <w:r>
        <w:rPr>
          <w:rFonts w:hint="eastAsia" w:ascii="仿宋" w:hAnsi="仿宋" w:eastAsia="仿宋"/>
          <w:spacing w:val="1"/>
          <w:sz w:val="32"/>
          <w:szCs w:val="32"/>
        </w:rPr>
        <w:t>作。负责区机关政务值班和群众来信、来访的接待处理工作，协助区</w:t>
      </w:r>
      <w:r>
        <w:rPr>
          <w:rFonts w:hint="eastAsia" w:ascii="仿宋" w:hAnsi="仿宋" w:eastAsia="仿宋"/>
          <w:spacing w:val="25"/>
          <w:sz w:val="32"/>
          <w:szCs w:val="32"/>
        </w:rPr>
        <w:t xml:space="preserve"> </w:t>
      </w:r>
      <w:r>
        <w:rPr>
          <w:rFonts w:hint="eastAsia" w:ascii="仿宋" w:hAnsi="仿宋" w:eastAsia="仿宋"/>
          <w:spacing w:val="1"/>
          <w:sz w:val="32"/>
          <w:szCs w:val="32"/>
        </w:rPr>
        <w:t>领导组织处理需由区直接处理的突发事件、重大灾情和重大事故，并</w:t>
      </w:r>
      <w:r>
        <w:rPr>
          <w:rFonts w:hint="eastAsia" w:ascii="仿宋" w:hAnsi="仿宋" w:eastAsia="仿宋"/>
          <w:spacing w:val="25"/>
          <w:sz w:val="32"/>
          <w:szCs w:val="32"/>
        </w:rPr>
        <w:t xml:space="preserve"> </w:t>
      </w:r>
      <w:r>
        <w:rPr>
          <w:rFonts w:hint="eastAsia" w:ascii="仿宋" w:hAnsi="仿宋" w:eastAsia="仿宋"/>
          <w:spacing w:val="-1"/>
          <w:sz w:val="32"/>
          <w:szCs w:val="32"/>
        </w:rPr>
        <w:t>负责向上级报告。负责区外办跑办工作。</w:t>
      </w:r>
    </w:p>
    <w:p>
      <w:pPr>
        <w:spacing w:line="500" w:lineRule="exact"/>
        <w:ind w:firstLine="560"/>
      </w:pPr>
      <w:r>
        <w:rPr>
          <w:rFonts w:eastAsia="方正仿宋_GBK"/>
          <w:color w:val="000000"/>
          <w:sz w:val="28"/>
        </w:rPr>
        <w:t>（二）分项绩效目标</w:t>
      </w:r>
    </w:p>
    <w:p>
      <w:pPr>
        <w:pStyle w:val="24"/>
      </w:pPr>
      <w:r>
        <w:rPr>
          <w:rFonts w:hint="eastAsia"/>
          <w:lang w:eastAsia="zh-CN"/>
        </w:rPr>
        <w:t>1.</w:t>
      </w:r>
      <w:r>
        <w:rPr>
          <w:rFonts w:hint="eastAsia"/>
        </w:rPr>
        <w:t>提高接待服务水平</w:t>
      </w:r>
    </w:p>
    <w:p>
      <w:pPr>
        <w:pStyle w:val="24"/>
      </w:pPr>
      <w:r>
        <w:rPr>
          <w:rFonts w:hint="eastAsia"/>
        </w:rPr>
        <w:t>绩效目标：</w:t>
      </w:r>
      <w:r>
        <w:t xml:space="preserve"> </w:t>
      </w:r>
      <w:r>
        <w:rPr>
          <w:rFonts w:hint="eastAsia"/>
        </w:rPr>
        <w:t>围绕全区中心工作，全面做好</w:t>
      </w:r>
      <w:r>
        <w:t>“</w:t>
      </w:r>
      <w:r>
        <w:rPr>
          <w:rFonts w:hint="eastAsia"/>
        </w:rPr>
        <w:t>三服务</w:t>
      </w:r>
      <w:r>
        <w:t>”</w:t>
      </w:r>
      <w:r>
        <w:rPr>
          <w:rFonts w:hint="eastAsia"/>
        </w:rPr>
        <w:t>工作，强化</w:t>
      </w:r>
      <w:r>
        <w:t xml:space="preserve"> </w:t>
      </w:r>
      <w:r>
        <w:rPr>
          <w:rFonts w:hint="eastAsia"/>
        </w:rPr>
        <w:t>服务意识，做好省市相关部门、兄弟单位来区调研接待，会议组织工</w:t>
      </w:r>
      <w:r>
        <w:t xml:space="preserve"> </w:t>
      </w:r>
      <w:r>
        <w:rPr>
          <w:rFonts w:hint="eastAsia"/>
        </w:rPr>
        <w:t>作，配合招商局，做好招商引资接待工作，积极宣传我区优势，助力</w:t>
      </w:r>
      <w:r>
        <w:t xml:space="preserve"> </w:t>
      </w:r>
      <w:r>
        <w:rPr>
          <w:rFonts w:hint="eastAsia"/>
        </w:rPr>
        <w:t>经济社会发展。</w:t>
      </w:r>
    </w:p>
    <w:p>
      <w:pPr>
        <w:pStyle w:val="24"/>
      </w:pPr>
      <w:r>
        <w:rPr>
          <w:rFonts w:hint="eastAsia"/>
        </w:rPr>
        <w:t>绩效指标：</w:t>
      </w:r>
      <w:r>
        <w:t xml:space="preserve"> </w:t>
      </w:r>
      <w:r>
        <w:rPr>
          <w:rFonts w:hint="eastAsia"/>
        </w:rPr>
        <w:t>接待来区考察客商</w:t>
      </w:r>
      <w:r>
        <w:t>1000</w:t>
      </w:r>
      <w:r>
        <w:rPr>
          <w:rFonts w:hint="eastAsia"/>
        </w:rPr>
        <w:t>批次。</w:t>
      </w:r>
    </w:p>
    <w:p>
      <w:pPr>
        <w:pStyle w:val="24"/>
      </w:pPr>
      <w:r>
        <w:rPr>
          <w:rFonts w:hint="eastAsia"/>
          <w:lang w:eastAsia="zh-CN"/>
        </w:rPr>
        <w:t>2.</w:t>
      </w:r>
      <w:r>
        <w:rPr>
          <w:rFonts w:hint="eastAsia"/>
        </w:rPr>
        <w:t>增强抗灾能力</w:t>
      </w:r>
    </w:p>
    <w:p>
      <w:pPr>
        <w:pStyle w:val="24"/>
        <w:rPr>
          <w:lang w:eastAsia="zh-CN"/>
        </w:rPr>
      </w:pPr>
      <w:r>
        <w:rPr>
          <w:rFonts w:hint="eastAsia"/>
        </w:rPr>
        <w:t>绩效目标：</w:t>
      </w:r>
      <w:r>
        <w:t xml:space="preserve"> </w:t>
      </w:r>
      <w:r>
        <w:rPr>
          <w:rFonts w:hint="eastAsia"/>
        </w:rPr>
        <w:t>有效缓解政府在重大公共安全事件上的资金压力和舆论压力。</w:t>
      </w:r>
    </w:p>
    <w:p>
      <w:pPr>
        <w:pStyle w:val="24"/>
      </w:pPr>
      <w:r>
        <w:rPr>
          <w:rFonts w:hint="eastAsia"/>
        </w:rPr>
        <w:t>绩效指标：</w:t>
      </w:r>
      <w:r>
        <w:t xml:space="preserve"> </w:t>
      </w:r>
      <w:r>
        <w:rPr>
          <w:rFonts w:hint="eastAsia"/>
        </w:rPr>
        <w:t>社会公众或服务对象满意度</w:t>
      </w:r>
      <w:r>
        <w:t>95%</w:t>
      </w:r>
      <w:r>
        <w:rPr>
          <w:rFonts w:hint="eastAsia"/>
        </w:rPr>
        <w:t>。</w:t>
      </w:r>
    </w:p>
    <w:p>
      <w:pPr>
        <w:pStyle w:val="24"/>
      </w:pPr>
      <w:r>
        <w:rPr>
          <w:rFonts w:hint="eastAsia"/>
          <w:lang w:eastAsia="zh-CN"/>
        </w:rPr>
        <w:t>3.</w:t>
      </w:r>
      <w:r>
        <w:rPr>
          <w:rFonts w:hint="eastAsia"/>
        </w:rPr>
        <w:t>提升后勤保障能力</w:t>
      </w:r>
    </w:p>
    <w:p>
      <w:pPr>
        <w:pStyle w:val="24"/>
      </w:pPr>
      <w:r>
        <w:rPr>
          <w:rFonts w:hint="eastAsia"/>
        </w:rPr>
        <w:t>绩效目标：</w:t>
      </w:r>
      <w:r>
        <w:t xml:space="preserve"> </w:t>
      </w:r>
      <w:r>
        <w:rPr>
          <w:rFonts w:hint="eastAsia"/>
        </w:rPr>
        <w:t>全面修缮机关办公楼，对老旧设施进行维修，开展路</w:t>
      </w:r>
      <w:r>
        <w:t xml:space="preserve"> </w:t>
      </w:r>
      <w:r>
        <w:rPr>
          <w:rFonts w:hint="eastAsia"/>
        </w:rPr>
        <w:t>面敷设、设备保养维护和跟新工作。保证机关办公楼基础设施功能完</w:t>
      </w:r>
      <w:r>
        <w:t xml:space="preserve"> </w:t>
      </w:r>
      <w:r>
        <w:rPr>
          <w:rFonts w:hint="eastAsia"/>
        </w:rPr>
        <w:t>善，养护良好。保障洗手液、消毒液等消耗品供应。</w:t>
      </w:r>
    </w:p>
    <w:p>
      <w:pPr>
        <w:pStyle w:val="24"/>
      </w:pPr>
      <w:r>
        <w:rPr>
          <w:rFonts w:hint="eastAsia"/>
        </w:rPr>
        <w:t>绩效指标：</w:t>
      </w:r>
      <w:r>
        <w:t xml:space="preserve"> </w:t>
      </w:r>
      <w:r>
        <w:rPr>
          <w:rFonts w:hint="eastAsia"/>
        </w:rPr>
        <w:t>公共设施完好度</w:t>
      </w:r>
      <w:r>
        <w:t>80%</w:t>
      </w:r>
      <w:r>
        <w:rPr>
          <w:rFonts w:hint="eastAsia"/>
        </w:rPr>
        <w:t>以上。</w:t>
      </w:r>
    </w:p>
    <w:p>
      <w:pPr>
        <w:pStyle w:val="24"/>
      </w:pPr>
      <w:r>
        <w:rPr>
          <w:rFonts w:hint="eastAsia"/>
          <w:lang w:eastAsia="zh-CN"/>
        </w:rPr>
        <w:t>4.</w:t>
      </w:r>
      <w:r>
        <w:rPr>
          <w:rFonts w:hint="eastAsia"/>
        </w:rPr>
        <w:t>强化对外宣传</w:t>
      </w:r>
    </w:p>
    <w:p>
      <w:pPr>
        <w:pStyle w:val="24"/>
      </w:pPr>
      <w:r>
        <w:rPr>
          <w:rFonts w:hint="eastAsia"/>
        </w:rPr>
        <w:t>绩效目标：</w:t>
      </w:r>
      <w:r>
        <w:t xml:space="preserve"> </w:t>
      </w:r>
      <w:r>
        <w:rPr>
          <w:rFonts w:hint="eastAsia"/>
        </w:rPr>
        <w:t>为多角度展示近年来我区经济社会变化，加强对外宣</w:t>
      </w:r>
      <w:r>
        <w:t xml:space="preserve"> </w:t>
      </w:r>
      <w:r>
        <w:rPr>
          <w:rFonts w:hint="eastAsia"/>
        </w:rPr>
        <w:t>传展示，更好推介芦台，印制《芦台经济开发区志》</w:t>
      </w:r>
      <w:r>
        <w:t xml:space="preserve"> </w:t>
      </w:r>
      <w:r>
        <w:rPr>
          <w:rFonts w:hint="eastAsia"/>
        </w:rPr>
        <w:t>。</w:t>
      </w:r>
    </w:p>
    <w:p>
      <w:pPr>
        <w:pStyle w:val="24"/>
      </w:pPr>
      <w:r>
        <w:rPr>
          <w:rFonts w:hint="eastAsia"/>
        </w:rPr>
        <w:t>绩效指标：</w:t>
      </w:r>
      <w:r>
        <w:t xml:space="preserve"> </w:t>
      </w:r>
      <w:r>
        <w:rPr>
          <w:rFonts w:hint="eastAsia"/>
        </w:rPr>
        <w:t>群众认知度</w:t>
      </w:r>
      <w:r>
        <w:t>70%</w:t>
      </w:r>
      <w:r>
        <w:rPr>
          <w:rFonts w:hint="eastAsia"/>
        </w:rPr>
        <w:t>以上</w:t>
      </w:r>
    </w:p>
    <w:p>
      <w:pPr>
        <w:pStyle w:val="24"/>
      </w:pPr>
      <w:r>
        <w:rPr>
          <w:rFonts w:hint="eastAsia"/>
          <w:lang w:eastAsia="zh-CN"/>
        </w:rPr>
        <w:t>5.</w:t>
      </w:r>
      <w:r>
        <w:rPr>
          <w:rFonts w:hint="eastAsia"/>
        </w:rPr>
        <w:t>提高档案管理水平</w:t>
      </w:r>
    </w:p>
    <w:p>
      <w:pPr>
        <w:pStyle w:val="24"/>
      </w:pPr>
      <w:r>
        <w:rPr>
          <w:rFonts w:hint="eastAsia"/>
        </w:rPr>
        <w:t>绩效目标：</w:t>
      </w:r>
      <w:r>
        <w:t xml:space="preserve"> </w:t>
      </w:r>
      <w:r>
        <w:rPr>
          <w:rFonts w:hint="eastAsia"/>
        </w:rPr>
        <w:t>完成档案室馆藏档案规范化整理，数字化率到达</w:t>
      </w:r>
      <w:r>
        <w:t>85</w:t>
      </w:r>
      <w:r>
        <w:rPr>
          <w:rFonts w:hint="eastAsia"/>
        </w:rPr>
        <w:t>以上，档案目录实现电子化全覆盖。</w:t>
      </w:r>
    </w:p>
    <w:p>
      <w:pPr>
        <w:pStyle w:val="24"/>
      </w:pPr>
      <w:r>
        <w:rPr>
          <w:rFonts w:hint="eastAsia"/>
        </w:rPr>
        <w:t>绩效指标：</w:t>
      </w:r>
      <w:r>
        <w:t xml:space="preserve"> </w:t>
      </w:r>
      <w:r>
        <w:rPr>
          <w:rFonts w:hint="eastAsia"/>
        </w:rPr>
        <w:t>馆藏档案数字化率达到</w:t>
      </w:r>
      <w:r>
        <w:t>85%</w:t>
      </w:r>
      <w:r>
        <w:rPr>
          <w:rFonts w:hint="eastAsia"/>
        </w:rPr>
        <w:t>以上</w:t>
      </w:r>
    </w:p>
    <w:p>
      <w:pPr>
        <w:spacing w:line="500" w:lineRule="exact"/>
        <w:ind w:firstLine="560"/>
        <w:rPr>
          <w:rFonts w:eastAsia="方正仿宋_GBK"/>
          <w:color w:val="000000"/>
          <w:sz w:val="28"/>
          <w:lang w:eastAsia="zh-CN"/>
        </w:rPr>
      </w:pPr>
      <w:r>
        <w:rPr>
          <w:rFonts w:eastAsia="方正仿宋_GBK"/>
          <w:color w:val="000000"/>
          <w:sz w:val="28"/>
        </w:rPr>
        <w:t>（三）工作保障措施</w:t>
      </w:r>
    </w:p>
    <w:p>
      <w:pPr>
        <w:pStyle w:val="24"/>
      </w:pPr>
      <w:r>
        <w:t>1.</w:t>
      </w:r>
      <w:r>
        <w:rPr>
          <w:rFonts w:hint="eastAsia"/>
        </w:rPr>
        <w:t>完善相关制度建设，制定完善相关度预算绩效管理制度、</w:t>
      </w:r>
      <w:r>
        <w:t xml:space="preserve"> </w:t>
      </w:r>
      <w:r>
        <w:rPr>
          <w:rFonts w:hint="eastAsia"/>
        </w:rPr>
        <w:t>资金管理</w:t>
      </w:r>
      <w:r>
        <w:t xml:space="preserve"> </w:t>
      </w:r>
      <w:r>
        <w:rPr>
          <w:rFonts w:hint="eastAsia"/>
        </w:rPr>
        <w:t>办法、工作保障制度等，为全年的预算绩效目标的实现奠定制度的基础；</w:t>
      </w:r>
    </w:p>
    <w:p>
      <w:pPr>
        <w:pStyle w:val="24"/>
      </w:pPr>
      <w:r>
        <w:t>2.</w:t>
      </w:r>
      <w:r>
        <w:rPr>
          <w:rFonts w:hint="eastAsia"/>
        </w:rPr>
        <w:t>加强内部监督制度建设，</w:t>
      </w:r>
      <w:r>
        <w:t xml:space="preserve"> </w:t>
      </w:r>
      <w:r>
        <w:rPr>
          <w:rFonts w:hint="eastAsia"/>
        </w:rPr>
        <w:t>对绩效运行情况、</w:t>
      </w:r>
      <w:r>
        <w:t xml:space="preserve"> </w:t>
      </w:r>
      <w:r>
        <w:rPr>
          <w:rFonts w:hint="eastAsia"/>
        </w:rPr>
        <w:t>重大支出决策、</w:t>
      </w:r>
      <w:r>
        <w:t xml:space="preserve"> </w:t>
      </w:r>
      <w:r>
        <w:rPr>
          <w:rFonts w:hint="eastAsia"/>
        </w:rPr>
        <w:t>对外投资、</w:t>
      </w:r>
      <w:r>
        <w:t xml:space="preserve"> </w:t>
      </w:r>
      <w:r>
        <w:rPr>
          <w:rFonts w:hint="eastAsia"/>
        </w:rPr>
        <w:t>资</w:t>
      </w:r>
      <w:r>
        <w:t xml:space="preserve"> </w:t>
      </w:r>
      <w:r>
        <w:rPr>
          <w:rFonts w:hint="eastAsia"/>
        </w:rPr>
        <w:t>产处置及其他重要经济业务事项的决策和执行进行督导，对会计资料进行内部审</w:t>
      </w:r>
      <w:r>
        <w:t xml:space="preserve"> </w:t>
      </w:r>
      <w:r>
        <w:rPr>
          <w:rFonts w:hint="eastAsia"/>
        </w:rPr>
        <w:t>计，并配合做好审计、财政监督等外部监督工作，确保财政资金安全</w:t>
      </w:r>
      <w:r>
        <w:t xml:space="preserve"> </w:t>
      </w:r>
      <w:r>
        <w:rPr>
          <w:rFonts w:hint="eastAsia"/>
        </w:rPr>
        <w:t>有效。</w:t>
      </w:r>
    </w:p>
    <w:p>
      <w:pPr>
        <w:pStyle w:val="25"/>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lang w:eastAsia="zh-CN"/>
        </w:rPr>
      </w:pPr>
      <w:r>
        <w:rPr>
          <w:rFonts w:hint="eastAsia" w:ascii="方正楷体_GBK" w:hAnsi="方正楷体_GBK" w:eastAsia="方正楷体_GBK" w:cs="方正楷体_GBK"/>
          <w:b/>
          <w:color w:val="000000"/>
          <w:sz w:val="32"/>
          <w:lang w:eastAsia="zh-CN"/>
        </w:rPr>
        <w:t>无</w:t>
      </w:r>
    </w:p>
    <w:p>
      <w:pPr>
        <w:pStyle w:val="26"/>
        <w:ind w:firstLine="640"/>
      </w:pPr>
      <w:r>
        <w:rPr>
          <w:rFonts w:ascii="方正楷体_GBK" w:hAnsi="方正楷体_GBK" w:eastAsia="方正楷体_GBK" w:cs="方正楷体_GBK"/>
          <w:b/>
          <w:color w:val="000000"/>
          <w:sz w:val="32"/>
        </w:rPr>
        <w:t>第三部分  预算项目绩效目标</w:t>
      </w:r>
    </w:p>
    <w:p>
      <w:pPr>
        <w:pStyle w:val="26"/>
        <w:ind w:firstLine="560"/>
      </w:pPr>
      <w:r>
        <w:rPr>
          <w:rFonts w:ascii="方正仿宋_GBK" w:hAnsi="方正仿宋_GBK" w:eastAsia="方正仿宋_GBK" w:cs="方正仿宋_GBK"/>
          <w:b/>
          <w:color w:val="000000"/>
          <w:sz w:val="28"/>
        </w:rPr>
        <w:t>1、2022财政专项工作经费绩效目标表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1.保障2022年度项目评审、评估、绩效评价等工作的顺利开展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预计完成的财政专项工作数量</w:t>
            </w:r>
          </w:p>
        </w:tc>
        <w:tc>
          <w:tcPr>
            <w:tcW w:w="2835" w:type="dxa"/>
            <w:vAlign w:val="center"/>
          </w:tcPr>
          <w:p>
            <w:pPr>
              <w:pStyle w:val="28"/>
            </w:pPr>
            <w:r>
              <w:t>预计完成的财政专项工作数量</w:t>
            </w:r>
          </w:p>
        </w:tc>
        <w:tc>
          <w:tcPr>
            <w:tcW w:w="2551" w:type="dxa"/>
            <w:vAlign w:val="center"/>
          </w:tcPr>
          <w:p>
            <w:pPr>
              <w:pStyle w:val="28"/>
            </w:pPr>
            <w:r>
              <w:t>≤50件</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50万元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保障2022年度项目评审、评估、绩效评价等工作的顺利开展</w:t>
            </w:r>
          </w:p>
        </w:tc>
        <w:tc>
          <w:tcPr>
            <w:tcW w:w="2835" w:type="dxa"/>
            <w:vAlign w:val="center"/>
          </w:tcPr>
          <w:p>
            <w:pPr>
              <w:pStyle w:val="28"/>
            </w:pPr>
            <w:r>
              <w:t>保障2022年度项目评审、评估、绩效评价等工作的顺利开展</w:t>
            </w:r>
          </w:p>
        </w:tc>
        <w:tc>
          <w:tcPr>
            <w:tcW w:w="2551" w:type="dxa"/>
            <w:vAlign w:val="center"/>
          </w:tcPr>
          <w:p>
            <w:pPr>
              <w:pStyle w:val="28"/>
            </w:pPr>
            <w:r>
              <w:t>保障2022年度项目评审、评估、绩效评价等工作的顺利开展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2、2022统计、人口普查工作经费绩效目标表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1.保障统计、人口普查工作正常开展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普查区域覆盖率</w:t>
            </w:r>
          </w:p>
        </w:tc>
        <w:tc>
          <w:tcPr>
            <w:tcW w:w="2835" w:type="dxa"/>
            <w:vAlign w:val="center"/>
          </w:tcPr>
          <w:p>
            <w:pPr>
              <w:pStyle w:val="28"/>
            </w:pPr>
            <w:r>
              <w:t>普查区域覆盖率</w:t>
            </w:r>
          </w:p>
        </w:tc>
        <w:tc>
          <w:tcPr>
            <w:tcW w:w="2551" w:type="dxa"/>
            <w:vAlign w:val="center"/>
          </w:tcPr>
          <w:p>
            <w:pPr>
              <w:pStyle w:val="28"/>
            </w:pPr>
            <w:r>
              <w:t>全区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保障统计、人口普查工作正常开展</w:t>
            </w:r>
          </w:p>
        </w:tc>
        <w:tc>
          <w:tcPr>
            <w:tcW w:w="2835" w:type="dxa"/>
            <w:vAlign w:val="center"/>
          </w:tcPr>
          <w:p>
            <w:pPr>
              <w:pStyle w:val="28"/>
            </w:pPr>
            <w:r>
              <w:t>保障统计、人口普查工作正常开展</w:t>
            </w:r>
          </w:p>
        </w:tc>
        <w:tc>
          <w:tcPr>
            <w:tcW w:w="2551" w:type="dxa"/>
            <w:vAlign w:val="center"/>
          </w:tcPr>
          <w:p>
            <w:pPr>
              <w:pStyle w:val="28"/>
            </w:pPr>
            <w:r>
              <w:t>保障统计、人口普查工作正常开展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3、教育资金计提绩效目标表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1.用于政府性基金中计提用于教育资金</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计提金额</w:t>
            </w:r>
          </w:p>
        </w:tc>
        <w:tc>
          <w:tcPr>
            <w:tcW w:w="2835" w:type="dxa"/>
            <w:vAlign w:val="center"/>
          </w:tcPr>
          <w:p>
            <w:pPr>
              <w:pStyle w:val="28"/>
            </w:pPr>
            <w:r>
              <w:t>计提金额</w:t>
            </w:r>
          </w:p>
        </w:tc>
        <w:tc>
          <w:tcPr>
            <w:tcW w:w="2551" w:type="dxa"/>
            <w:vAlign w:val="center"/>
          </w:tcPr>
          <w:p>
            <w:pPr>
              <w:pStyle w:val="28"/>
            </w:pPr>
            <w:r>
              <w:t>203.47万元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按标准计提</w:t>
            </w:r>
          </w:p>
        </w:tc>
        <w:tc>
          <w:tcPr>
            <w:tcW w:w="2835" w:type="dxa"/>
            <w:vAlign w:val="center"/>
          </w:tcPr>
          <w:p>
            <w:pPr>
              <w:pStyle w:val="28"/>
            </w:pPr>
            <w:r>
              <w:t>按标准计提</w:t>
            </w:r>
          </w:p>
        </w:tc>
        <w:tc>
          <w:tcPr>
            <w:tcW w:w="2551" w:type="dxa"/>
            <w:vAlign w:val="center"/>
          </w:tcPr>
          <w:p>
            <w:pPr>
              <w:pStyle w:val="28"/>
            </w:pPr>
            <w:r>
              <w:t>合规</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完成时间</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财政投入</w:t>
            </w:r>
          </w:p>
        </w:tc>
        <w:tc>
          <w:tcPr>
            <w:tcW w:w="2835" w:type="dxa"/>
            <w:vAlign w:val="center"/>
          </w:tcPr>
          <w:p>
            <w:pPr>
              <w:pStyle w:val="28"/>
            </w:pPr>
            <w:r>
              <w:t>财政投入</w:t>
            </w:r>
          </w:p>
        </w:tc>
        <w:tc>
          <w:tcPr>
            <w:tcW w:w="2551" w:type="dxa"/>
            <w:vAlign w:val="center"/>
          </w:tcPr>
          <w:p>
            <w:pPr>
              <w:pStyle w:val="28"/>
            </w:pPr>
            <w:r>
              <w:t>203.47万元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项目具有可持续影响</w:t>
            </w:r>
          </w:p>
        </w:tc>
        <w:tc>
          <w:tcPr>
            <w:tcW w:w="2835" w:type="dxa"/>
            <w:vAlign w:val="center"/>
          </w:tcPr>
          <w:p>
            <w:pPr>
              <w:pStyle w:val="28"/>
            </w:pPr>
            <w:r>
              <w:t>项目具有可持续影响</w:t>
            </w:r>
          </w:p>
        </w:tc>
        <w:tc>
          <w:tcPr>
            <w:tcW w:w="2551" w:type="dxa"/>
            <w:vAlign w:val="center"/>
          </w:tcPr>
          <w:p>
            <w:pPr>
              <w:pStyle w:val="28"/>
            </w:pPr>
            <w:r>
              <w:t>项目具有可持续影响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4、结核病控制卫十项目还本付息绩效目标表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1.按照世行卫十项目还款</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6千元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按照世行卫十项目还款</w:t>
            </w:r>
          </w:p>
        </w:tc>
        <w:tc>
          <w:tcPr>
            <w:tcW w:w="2835" w:type="dxa"/>
            <w:vAlign w:val="center"/>
          </w:tcPr>
          <w:p>
            <w:pPr>
              <w:pStyle w:val="28"/>
            </w:pPr>
            <w:r>
              <w:t>按照世行卫十项目还款</w:t>
            </w:r>
          </w:p>
        </w:tc>
        <w:tc>
          <w:tcPr>
            <w:tcW w:w="2551" w:type="dxa"/>
            <w:vAlign w:val="center"/>
          </w:tcPr>
          <w:p>
            <w:pPr>
              <w:pStyle w:val="28"/>
            </w:pPr>
            <w:r>
              <w:t>按照世行卫十项目还款</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5、困难企业补贴绩效目标表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 1：保障职工工资及保险金额足额发放；</w:t>
            </w:r>
          </w:p>
          <w:p>
            <w:pPr>
              <w:pStyle w:val="28"/>
            </w:pPr>
            <w:r>
              <w:t>目标 2：提供破产改制员工基本生活保障，推进区域稳定和谐发展；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保障人员人数</w:t>
            </w:r>
          </w:p>
        </w:tc>
        <w:tc>
          <w:tcPr>
            <w:tcW w:w="2835" w:type="dxa"/>
            <w:vAlign w:val="center"/>
          </w:tcPr>
          <w:p>
            <w:pPr>
              <w:pStyle w:val="28"/>
            </w:pPr>
            <w:r>
              <w:t>提供基本保障人数</w:t>
            </w:r>
          </w:p>
        </w:tc>
        <w:tc>
          <w:tcPr>
            <w:tcW w:w="2551" w:type="dxa"/>
            <w:vAlign w:val="center"/>
          </w:tcPr>
          <w:p>
            <w:pPr>
              <w:pStyle w:val="28"/>
            </w:pPr>
            <w:r>
              <w:t>343人</w:t>
            </w:r>
          </w:p>
        </w:tc>
        <w:tc>
          <w:tcPr>
            <w:tcW w:w="2268" w:type="dxa"/>
            <w:vAlign w:val="center"/>
          </w:tcPr>
          <w:p>
            <w:pPr>
              <w:pStyle w:val="28"/>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资金发放达标率</w:t>
            </w:r>
          </w:p>
        </w:tc>
        <w:tc>
          <w:tcPr>
            <w:tcW w:w="2835" w:type="dxa"/>
            <w:vAlign w:val="center"/>
          </w:tcPr>
          <w:p>
            <w:pPr>
              <w:pStyle w:val="28"/>
            </w:pPr>
            <w:r>
              <w:t>资金发放实际发放人数/应发放资金人数*100%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发放资金及时率</w:t>
            </w:r>
          </w:p>
        </w:tc>
        <w:tc>
          <w:tcPr>
            <w:tcW w:w="2835" w:type="dxa"/>
            <w:vAlign w:val="center"/>
          </w:tcPr>
          <w:p>
            <w:pPr>
              <w:pStyle w:val="28"/>
            </w:pPr>
            <w:r>
              <w:t>按时发放资金次数/已发放资金次数*100%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项目完成时限</w:t>
            </w:r>
          </w:p>
        </w:tc>
        <w:tc>
          <w:tcPr>
            <w:tcW w:w="2835" w:type="dxa"/>
            <w:vAlign w:val="center"/>
          </w:tcPr>
          <w:p>
            <w:pPr>
              <w:pStyle w:val="28"/>
            </w:pPr>
            <w:r>
              <w:t>项目完成时限</w:t>
            </w:r>
          </w:p>
        </w:tc>
        <w:tc>
          <w:tcPr>
            <w:tcW w:w="2551" w:type="dxa"/>
            <w:vAlign w:val="center"/>
          </w:tcPr>
          <w:p>
            <w:pPr>
              <w:pStyle w:val="28"/>
            </w:pPr>
            <w:r>
              <w:t>2022年内</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200万元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职工基本生活得到保障</w:t>
            </w:r>
          </w:p>
        </w:tc>
        <w:tc>
          <w:tcPr>
            <w:tcW w:w="2835" w:type="dxa"/>
            <w:vAlign w:val="center"/>
          </w:tcPr>
          <w:p>
            <w:pPr>
              <w:pStyle w:val="28"/>
            </w:pPr>
            <w:r>
              <w:t>职工基本生活得到保障</w:t>
            </w:r>
          </w:p>
        </w:tc>
        <w:tc>
          <w:tcPr>
            <w:tcW w:w="2551" w:type="dxa"/>
            <w:vAlign w:val="center"/>
          </w:tcPr>
          <w:p>
            <w:pPr>
              <w:pStyle w:val="28"/>
            </w:pPr>
            <w:r>
              <w:t>职工基本生活得到保障</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职工满意度</w:t>
            </w:r>
          </w:p>
        </w:tc>
        <w:tc>
          <w:tcPr>
            <w:tcW w:w="2835" w:type="dxa"/>
            <w:vAlign w:val="center"/>
          </w:tcPr>
          <w:p>
            <w:pPr>
              <w:pStyle w:val="28"/>
            </w:pPr>
            <w:r>
              <w:t>职工满意度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6、农业保险保费补贴资金绩效目标表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1.引导和支持农户参加农业保险；</w:t>
            </w:r>
          </w:p>
          <w:p>
            <w:pPr>
              <w:pStyle w:val="28"/>
            </w:pPr>
            <w:r>
              <w:t>2.中央和省级财政主要保障关系国计民生和粮食安全的大宗农产品，重点支持农业生产环节；</w:t>
            </w:r>
          </w:p>
          <w:p>
            <w:pPr>
              <w:pStyle w:val="28"/>
            </w:pPr>
            <w:r>
              <w:t>3.不断扩大农业保险覆盖面和风险保障水平，逐步建立市场化的农业生产风险防范化解机制；</w:t>
            </w:r>
          </w:p>
          <w:p>
            <w:pPr>
              <w:pStyle w:val="28"/>
            </w:pPr>
            <w:r>
              <w:t>4.稳定农业生产，保障农民收入。</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育肥猪保险覆盖率</w:t>
            </w:r>
          </w:p>
        </w:tc>
        <w:tc>
          <w:tcPr>
            <w:tcW w:w="2835" w:type="dxa"/>
            <w:vAlign w:val="center"/>
          </w:tcPr>
          <w:p>
            <w:pPr>
              <w:pStyle w:val="28"/>
            </w:pPr>
            <w:r>
              <w:t>已投保育肥猪占应投保育肥猪比率</w:t>
            </w:r>
          </w:p>
        </w:tc>
        <w:tc>
          <w:tcPr>
            <w:tcW w:w="2551" w:type="dxa"/>
            <w:vAlign w:val="center"/>
          </w:tcPr>
          <w:p>
            <w:pPr>
              <w:pStyle w:val="28"/>
            </w:pPr>
            <w:r>
              <w:t>≥35%</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绝对免赔额</w:t>
            </w:r>
          </w:p>
        </w:tc>
        <w:tc>
          <w:tcPr>
            <w:tcW w:w="2835" w:type="dxa"/>
            <w:vAlign w:val="center"/>
          </w:tcPr>
          <w:p>
            <w:pPr>
              <w:pStyle w:val="28"/>
            </w:pPr>
            <w:r>
              <w:t>对约定数额以下的损失绝</w:t>
            </w:r>
          </w:p>
          <w:p>
            <w:pPr>
              <w:pStyle w:val="28"/>
            </w:pPr>
            <w:r>
              <w:t>对不承担赔偿责任的免赔限额</w:t>
            </w:r>
          </w:p>
        </w:tc>
        <w:tc>
          <w:tcPr>
            <w:tcW w:w="2551" w:type="dxa"/>
            <w:vAlign w:val="center"/>
          </w:tcPr>
          <w:p>
            <w:pPr>
              <w:pStyle w:val="28"/>
            </w:pPr>
            <w:r>
              <w:t>0.01元</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2022年内</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≤64.99万元</w:t>
            </w:r>
          </w:p>
        </w:tc>
        <w:tc>
          <w:tcPr>
            <w:tcW w:w="2268" w:type="dxa"/>
            <w:vAlign w:val="center"/>
          </w:tcPr>
          <w:p>
            <w:pPr>
              <w:pStyle w:val="28"/>
            </w:pPr>
            <w:r>
              <w:t>按业务预测资金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风险保障总额</w:t>
            </w:r>
          </w:p>
        </w:tc>
        <w:tc>
          <w:tcPr>
            <w:tcW w:w="2835" w:type="dxa"/>
            <w:vAlign w:val="center"/>
          </w:tcPr>
          <w:p>
            <w:pPr>
              <w:pStyle w:val="28"/>
            </w:pPr>
            <w:r>
              <w:t>风险保障总额</w:t>
            </w:r>
          </w:p>
        </w:tc>
        <w:tc>
          <w:tcPr>
            <w:tcW w:w="2551" w:type="dxa"/>
            <w:vAlign w:val="center"/>
          </w:tcPr>
          <w:p>
            <w:pPr>
              <w:pStyle w:val="28"/>
            </w:pPr>
            <w:r>
              <w:t>高于去年</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参保农户满意度</w:t>
            </w:r>
          </w:p>
        </w:tc>
        <w:tc>
          <w:tcPr>
            <w:tcW w:w="2835" w:type="dxa"/>
            <w:vAlign w:val="center"/>
          </w:tcPr>
          <w:p>
            <w:pPr>
              <w:pStyle w:val="28"/>
            </w:pPr>
            <w:r>
              <w:t>通过问卷调查，满意和较满意的受益对象占全部调研对象的比率</w:t>
            </w:r>
          </w:p>
        </w:tc>
        <w:tc>
          <w:tcPr>
            <w:tcW w:w="2551" w:type="dxa"/>
            <w:vAlign w:val="center"/>
          </w:tcPr>
          <w:p>
            <w:pPr>
              <w:pStyle w:val="28"/>
            </w:pPr>
            <w:r>
              <w:t>≥80%</w:t>
            </w:r>
          </w:p>
        </w:tc>
        <w:tc>
          <w:tcPr>
            <w:tcW w:w="2268" w:type="dxa"/>
            <w:vAlign w:val="center"/>
          </w:tcPr>
          <w:p>
            <w:pPr>
              <w:pStyle w:val="28"/>
            </w:pPr>
            <w:r>
              <w:t>上级文件要求</w:t>
            </w:r>
          </w:p>
        </w:tc>
      </w:tr>
    </w:tbl>
    <w:p>
      <w:pPr>
        <w:pStyle w:val="26"/>
      </w:pPr>
    </w:p>
    <w:p>
      <w:pPr>
        <w:pStyle w:val="26"/>
        <w:ind w:firstLine="560"/>
      </w:pPr>
      <w:r>
        <w:rPr>
          <w:rFonts w:ascii="方正仿宋_GBK" w:hAnsi="方正仿宋_GBK" w:eastAsia="方正仿宋_GBK" w:cs="方正仿宋_GBK"/>
          <w:b/>
          <w:color w:val="000000"/>
          <w:sz w:val="28"/>
        </w:rPr>
        <w:t>7、一般债券本金绩效目标表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1.到期债券本息资金全部按时、足额支付；防范政府债务出现区域性、系统性风险；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支付到期本金款</w:t>
            </w:r>
          </w:p>
        </w:tc>
        <w:tc>
          <w:tcPr>
            <w:tcW w:w="2835" w:type="dxa"/>
            <w:vAlign w:val="center"/>
          </w:tcPr>
          <w:p>
            <w:pPr>
              <w:pStyle w:val="28"/>
            </w:pPr>
            <w:r>
              <w:t>支付到期本金款</w:t>
            </w:r>
          </w:p>
        </w:tc>
        <w:tc>
          <w:tcPr>
            <w:tcW w:w="2551" w:type="dxa"/>
            <w:vAlign w:val="center"/>
          </w:tcPr>
          <w:p>
            <w:pPr>
              <w:pStyle w:val="28"/>
            </w:pPr>
            <w:r>
              <w:t>693万元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全年逾期支付次数</w:t>
            </w:r>
          </w:p>
        </w:tc>
        <w:tc>
          <w:tcPr>
            <w:tcW w:w="2835" w:type="dxa"/>
            <w:vAlign w:val="center"/>
          </w:tcPr>
          <w:p>
            <w:pPr>
              <w:pStyle w:val="28"/>
            </w:pPr>
            <w:r>
              <w:t>全年逾期支付次数</w:t>
            </w:r>
          </w:p>
        </w:tc>
        <w:tc>
          <w:tcPr>
            <w:tcW w:w="2551" w:type="dxa"/>
            <w:vAlign w:val="center"/>
          </w:tcPr>
          <w:p>
            <w:pPr>
              <w:pStyle w:val="28"/>
            </w:pPr>
            <w:r>
              <w:t>≤0.01次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到期债券本息按计划支付率</w:t>
            </w:r>
          </w:p>
        </w:tc>
        <w:tc>
          <w:tcPr>
            <w:tcW w:w="2835" w:type="dxa"/>
            <w:vAlign w:val="center"/>
          </w:tcPr>
          <w:p>
            <w:pPr>
              <w:pStyle w:val="28"/>
            </w:pPr>
            <w:r>
              <w:t>支付到期债券本息的实际进度/支付到期债券本兮的预期进度</w:t>
            </w:r>
          </w:p>
          <w:p>
            <w:pPr>
              <w:pStyle w:val="28"/>
            </w:pPr>
            <w:r>
              <w:t>*100%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693万元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防范政府债务出现区域性、系统性风险</w:t>
            </w:r>
          </w:p>
        </w:tc>
        <w:tc>
          <w:tcPr>
            <w:tcW w:w="2835" w:type="dxa"/>
            <w:vAlign w:val="center"/>
          </w:tcPr>
          <w:p>
            <w:pPr>
              <w:pStyle w:val="28"/>
            </w:pPr>
            <w:r>
              <w:t>防范政府债务出现区域性、系统性风险</w:t>
            </w:r>
          </w:p>
        </w:tc>
        <w:tc>
          <w:tcPr>
            <w:tcW w:w="2551" w:type="dxa"/>
            <w:vAlign w:val="center"/>
          </w:tcPr>
          <w:p>
            <w:pPr>
              <w:pStyle w:val="28"/>
            </w:pPr>
            <w:r>
              <w:t>防范政府债务出现区域性、系统性风险</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8、一般债券发行费及服务费绩效目标表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w:t>
            </w:r>
          </w:p>
          <w:p>
            <w:pPr>
              <w:pStyle w:val="28"/>
            </w:pPr>
            <w:r>
              <w:t>及时拨付债券的手续费，保障业务按进度执行；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一般债券应付兑息服务费</w:t>
            </w:r>
          </w:p>
        </w:tc>
        <w:tc>
          <w:tcPr>
            <w:tcW w:w="2835" w:type="dxa"/>
            <w:vAlign w:val="center"/>
          </w:tcPr>
          <w:p>
            <w:pPr>
              <w:pStyle w:val="28"/>
            </w:pPr>
            <w:r>
              <w:t>一般债券应付兑息服务费</w:t>
            </w:r>
          </w:p>
        </w:tc>
        <w:tc>
          <w:tcPr>
            <w:tcW w:w="2551" w:type="dxa"/>
            <w:vAlign w:val="center"/>
          </w:tcPr>
          <w:p>
            <w:pPr>
              <w:pStyle w:val="28"/>
            </w:pPr>
            <w:r>
              <w:t>≤0.04万元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一般债券登记服务</w:t>
            </w:r>
          </w:p>
          <w:p>
            <w:pPr>
              <w:pStyle w:val="28"/>
            </w:pPr>
            <w:r>
              <w:t>费</w:t>
            </w:r>
          </w:p>
        </w:tc>
        <w:tc>
          <w:tcPr>
            <w:tcW w:w="2835" w:type="dxa"/>
            <w:vAlign w:val="center"/>
          </w:tcPr>
          <w:p>
            <w:pPr>
              <w:pStyle w:val="28"/>
            </w:pPr>
            <w:r>
              <w:t>一般债券登记服务费</w:t>
            </w:r>
          </w:p>
        </w:tc>
        <w:tc>
          <w:tcPr>
            <w:tcW w:w="2551" w:type="dxa"/>
            <w:vAlign w:val="center"/>
          </w:tcPr>
          <w:p>
            <w:pPr>
              <w:pStyle w:val="28"/>
            </w:pPr>
            <w:r>
              <w:t>≤0.48万元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一般债券发行费</w:t>
            </w:r>
          </w:p>
        </w:tc>
        <w:tc>
          <w:tcPr>
            <w:tcW w:w="2835" w:type="dxa"/>
            <w:vAlign w:val="center"/>
          </w:tcPr>
          <w:p>
            <w:pPr>
              <w:pStyle w:val="28"/>
            </w:pPr>
            <w:r>
              <w:t>一般债券发行费</w:t>
            </w:r>
          </w:p>
        </w:tc>
        <w:tc>
          <w:tcPr>
            <w:tcW w:w="2551" w:type="dxa"/>
            <w:vAlign w:val="center"/>
          </w:tcPr>
          <w:p>
            <w:pPr>
              <w:pStyle w:val="28"/>
            </w:pPr>
            <w:r>
              <w:t>≤6万元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一般债券应付兑还服务费</w:t>
            </w:r>
          </w:p>
        </w:tc>
        <w:tc>
          <w:tcPr>
            <w:tcW w:w="2835" w:type="dxa"/>
            <w:vAlign w:val="center"/>
          </w:tcPr>
          <w:p>
            <w:pPr>
              <w:pStyle w:val="28"/>
            </w:pPr>
            <w:r>
              <w:t>一般债券应付兑还服务费</w:t>
            </w:r>
          </w:p>
        </w:tc>
        <w:tc>
          <w:tcPr>
            <w:tcW w:w="2551" w:type="dxa"/>
            <w:vAlign w:val="center"/>
          </w:tcPr>
          <w:p>
            <w:pPr>
              <w:pStyle w:val="28"/>
            </w:pPr>
            <w:r>
              <w:t>≤0.33万元</w:t>
            </w:r>
          </w:p>
        </w:tc>
        <w:tc>
          <w:tcPr>
            <w:tcW w:w="2268" w:type="dxa"/>
            <w:vAlign w:val="center"/>
          </w:tcPr>
          <w:p>
            <w:pPr>
              <w:pStyle w:val="28"/>
            </w:pPr>
            <w:r>
              <w:t>根据银行实际手续费确定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避免因手续费不足导致延误债券业务</w:t>
            </w:r>
          </w:p>
        </w:tc>
        <w:tc>
          <w:tcPr>
            <w:tcW w:w="2835" w:type="dxa"/>
            <w:vAlign w:val="center"/>
          </w:tcPr>
          <w:p>
            <w:pPr>
              <w:pStyle w:val="28"/>
            </w:pPr>
            <w:r>
              <w:t>避免因手续费不足导致延误债券业务</w:t>
            </w:r>
          </w:p>
        </w:tc>
        <w:tc>
          <w:tcPr>
            <w:tcW w:w="2551" w:type="dxa"/>
            <w:vAlign w:val="center"/>
          </w:tcPr>
          <w:p>
            <w:pPr>
              <w:pStyle w:val="28"/>
            </w:pPr>
            <w:r>
              <w:t>避免因手续费不足导致延误债券业务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预计完成时限</w:t>
            </w:r>
          </w:p>
        </w:tc>
        <w:tc>
          <w:tcPr>
            <w:tcW w:w="2835" w:type="dxa"/>
            <w:vAlign w:val="center"/>
          </w:tcPr>
          <w:p>
            <w:pPr>
              <w:pStyle w:val="28"/>
            </w:pPr>
            <w:r>
              <w:t>预计完成时限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6.86万元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保障我区 2022 年债券业务正常进行</w:t>
            </w:r>
          </w:p>
        </w:tc>
        <w:tc>
          <w:tcPr>
            <w:tcW w:w="2835" w:type="dxa"/>
            <w:vAlign w:val="center"/>
          </w:tcPr>
          <w:p>
            <w:pPr>
              <w:pStyle w:val="28"/>
            </w:pPr>
            <w:r>
              <w:t>保障我区 2022 年债券业务正常进行</w:t>
            </w:r>
          </w:p>
        </w:tc>
        <w:tc>
          <w:tcPr>
            <w:tcW w:w="2551" w:type="dxa"/>
            <w:vAlign w:val="center"/>
          </w:tcPr>
          <w:p>
            <w:pPr>
              <w:pStyle w:val="28"/>
            </w:pPr>
            <w:r>
              <w:t>保障我区 2022 年债券业务正常进行</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业务人员满意度</w:t>
            </w:r>
          </w:p>
        </w:tc>
        <w:tc>
          <w:tcPr>
            <w:tcW w:w="2835" w:type="dxa"/>
            <w:vAlign w:val="center"/>
          </w:tcPr>
          <w:p>
            <w:pPr>
              <w:pStyle w:val="28"/>
            </w:pPr>
            <w:r>
              <w:t>业务人员满意度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9、一般债券利息绩效目标表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w:t>
            </w:r>
          </w:p>
          <w:p>
            <w:pPr>
              <w:pStyle w:val="28"/>
            </w:pPr>
          </w:p>
          <w:p>
            <w:pPr>
              <w:pStyle w:val="28"/>
            </w:pPr>
            <w:r>
              <w:t>到期债券本息资金全部按时、足额支付；防范政府债务出现区域性、系统性风险；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支付到期利息款</w:t>
            </w:r>
          </w:p>
        </w:tc>
        <w:tc>
          <w:tcPr>
            <w:tcW w:w="2835" w:type="dxa"/>
            <w:vAlign w:val="center"/>
          </w:tcPr>
          <w:p>
            <w:pPr>
              <w:pStyle w:val="28"/>
            </w:pPr>
            <w:r>
              <w:t>支付到期利息款</w:t>
            </w:r>
          </w:p>
        </w:tc>
        <w:tc>
          <w:tcPr>
            <w:tcW w:w="2551" w:type="dxa"/>
            <w:vAlign w:val="center"/>
          </w:tcPr>
          <w:p>
            <w:pPr>
              <w:pStyle w:val="28"/>
            </w:pPr>
            <w:r>
              <w:t>≤876.54万元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全年逾期支付次数</w:t>
            </w:r>
          </w:p>
        </w:tc>
        <w:tc>
          <w:tcPr>
            <w:tcW w:w="2835" w:type="dxa"/>
            <w:vAlign w:val="center"/>
          </w:tcPr>
          <w:p>
            <w:pPr>
              <w:pStyle w:val="28"/>
            </w:pPr>
            <w:r>
              <w:t>全年逾期支付次数</w:t>
            </w:r>
          </w:p>
        </w:tc>
        <w:tc>
          <w:tcPr>
            <w:tcW w:w="2551" w:type="dxa"/>
            <w:vAlign w:val="center"/>
          </w:tcPr>
          <w:p>
            <w:pPr>
              <w:pStyle w:val="28"/>
            </w:pPr>
            <w:r>
              <w:t>0.01次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到期债券本息按计划支付率</w:t>
            </w:r>
          </w:p>
        </w:tc>
        <w:tc>
          <w:tcPr>
            <w:tcW w:w="2835" w:type="dxa"/>
            <w:vAlign w:val="center"/>
          </w:tcPr>
          <w:p>
            <w:pPr>
              <w:pStyle w:val="28"/>
            </w:pPr>
            <w:r>
              <w:t>支付到期债券本息的实际进度/支付到期债券本兮的预期进度</w:t>
            </w:r>
          </w:p>
          <w:p>
            <w:pPr>
              <w:pStyle w:val="28"/>
            </w:pPr>
            <w:r>
              <w:t>*100%</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876.54万元</w:t>
            </w:r>
          </w:p>
        </w:tc>
        <w:tc>
          <w:tcPr>
            <w:tcW w:w="2268" w:type="dxa"/>
            <w:vAlign w:val="center"/>
          </w:tcPr>
          <w:p>
            <w:pPr>
              <w:pStyle w:val="28"/>
            </w:pPr>
            <w:r>
              <w:t>唐财债（2020）19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防范政府债务出现区域性、系统性风险</w:t>
            </w:r>
          </w:p>
        </w:tc>
        <w:tc>
          <w:tcPr>
            <w:tcW w:w="2835" w:type="dxa"/>
            <w:vAlign w:val="center"/>
          </w:tcPr>
          <w:p>
            <w:pPr>
              <w:pStyle w:val="28"/>
            </w:pPr>
            <w:r>
              <w:t>防范政府债务出现区域性、系统性风险</w:t>
            </w:r>
          </w:p>
        </w:tc>
        <w:tc>
          <w:tcPr>
            <w:tcW w:w="2551" w:type="dxa"/>
            <w:vAlign w:val="center"/>
          </w:tcPr>
          <w:p>
            <w:pPr>
              <w:pStyle w:val="28"/>
            </w:pPr>
            <w:r>
              <w:t>防范政府债务出现区域性、系统性风险</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、支持中小企业发展绩效目标表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1.围绕全区工作，结合奖励标准，配合发改局做好对各企业单位的奖励机制工作，积极宣传我区优势，助力经济社会发展；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预计支持企业</w:t>
            </w:r>
          </w:p>
        </w:tc>
        <w:tc>
          <w:tcPr>
            <w:tcW w:w="2835" w:type="dxa"/>
            <w:vAlign w:val="center"/>
          </w:tcPr>
          <w:p>
            <w:pPr>
              <w:pStyle w:val="28"/>
            </w:pPr>
            <w:r>
              <w:t>预计支持企业</w:t>
            </w:r>
          </w:p>
        </w:tc>
        <w:tc>
          <w:tcPr>
            <w:tcW w:w="2551" w:type="dxa"/>
            <w:vAlign w:val="center"/>
          </w:tcPr>
          <w:p>
            <w:pPr>
              <w:pStyle w:val="28"/>
            </w:pPr>
            <w:r>
              <w:t>10个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发放达标率</w:t>
            </w:r>
          </w:p>
        </w:tc>
        <w:tc>
          <w:tcPr>
            <w:tcW w:w="2835" w:type="dxa"/>
            <w:vAlign w:val="center"/>
          </w:tcPr>
          <w:p>
            <w:pPr>
              <w:pStyle w:val="28"/>
            </w:pPr>
            <w:r>
              <w:t>实际发放的企业/应发放的企业*100%</w:t>
            </w:r>
          </w:p>
        </w:tc>
        <w:tc>
          <w:tcPr>
            <w:tcW w:w="2551" w:type="dxa"/>
            <w:vAlign w:val="center"/>
          </w:tcPr>
          <w:p>
            <w:pPr>
              <w:pStyle w:val="28"/>
            </w:pPr>
            <w:r>
              <w:t>按照文件要求，保质保量完成</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100万元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推进地区企业高质量</w:t>
            </w:r>
          </w:p>
          <w:p>
            <w:pPr>
              <w:pStyle w:val="28"/>
            </w:pPr>
            <w:r>
              <w:t>发展</w:t>
            </w:r>
          </w:p>
        </w:tc>
        <w:tc>
          <w:tcPr>
            <w:tcW w:w="2835" w:type="dxa"/>
            <w:vAlign w:val="center"/>
          </w:tcPr>
          <w:p>
            <w:pPr>
              <w:pStyle w:val="28"/>
            </w:pPr>
            <w:r>
              <w:t>推进地区企业高质量</w:t>
            </w:r>
          </w:p>
          <w:p>
            <w:pPr>
              <w:pStyle w:val="28"/>
            </w:pPr>
            <w:r>
              <w:t>发展</w:t>
            </w:r>
          </w:p>
        </w:tc>
        <w:tc>
          <w:tcPr>
            <w:tcW w:w="2551" w:type="dxa"/>
            <w:vAlign w:val="center"/>
          </w:tcPr>
          <w:p>
            <w:pPr>
              <w:pStyle w:val="28"/>
            </w:pPr>
            <w:r>
              <w:t>推进地区企业高质量</w:t>
            </w:r>
          </w:p>
          <w:p>
            <w:pPr>
              <w:pStyle w:val="28"/>
            </w:pPr>
            <w:r>
              <w:t>发展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企业效益得到提高</w:t>
            </w:r>
          </w:p>
        </w:tc>
        <w:tc>
          <w:tcPr>
            <w:tcW w:w="2835" w:type="dxa"/>
            <w:vAlign w:val="center"/>
          </w:tcPr>
          <w:p>
            <w:pPr>
              <w:pStyle w:val="28"/>
            </w:pPr>
            <w:r>
              <w:t>企业效益得到提高</w:t>
            </w:r>
          </w:p>
        </w:tc>
        <w:tc>
          <w:tcPr>
            <w:tcW w:w="2551" w:type="dxa"/>
            <w:vAlign w:val="center"/>
          </w:tcPr>
          <w:p>
            <w:pPr>
              <w:pStyle w:val="28"/>
            </w:pPr>
            <w:r>
              <w:t>企业效益得到提高</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项目具有可持续性</w:t>
            </w:r>
          </w:p>
        </w:tc>
        <w:tc>
          <w:tcPr>
            <w:tcW w:w="2835" w:type="dxa"/>
            <w:vAlign w:val="center"/>
          </w:tcPr>
          <w:p>
            <w:pPr>
              <w:pStyle w:val="28"/>
            </w:pPr>
            <w:r>
              <w:t>项目具有可持续性</w:t>
            </w:r>
          </w:p>
        </w:tc>
        <w:tc>
          <w:tcPr>
            <w:tcW w:w="2551" w:type="dxa"/>
            <w:vAlign w:val="center"/>
          </w:tcPr>
          <w:p>
            <w:pPr>
              <w:pStyle w:val="28"/>
            </w:pPr>
            <w:r>
              <w:t>项目具有可持续性</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、专项债券利息绩效目标表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1.有效落实专项债券使用及偿还本息政策</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置换债券-专项债券</w:t>
            </w:r>
          </w:p>
        </w:tc>
        <w:tc>
          <w:tcPr>
            <w:tcW w:w="2835" w:type="dxa"/>
            <w:vAlign w:val="center"/>
          </w:tcPr>
          <w:p>
            <w:pPr>
              <w:pStyle w:val="28"/>
            </w:pPr>
            <w:r>
              <w:t>置换债券-专项债券</w:t>
            </w:r>
          </w:p>
        </w:tc>
        <w:tc>
          <w:tcPr>
            <w:tcW w:w="2551" w:type="dxa"/>
            <w:vAlign w:val="center"/>
          </w:tcPr>
          <w:p>
            <w:pPr>
              <w:pStyle w:val="28"/>
            </w:pPr>
            <w:r>
              <w:t>406万元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新增专项债券</w:t>
            </w:r>
          </w:p>
        </w:tc>
        <w:tc>
          <w:tcPr>
            <w:tcW w:w="2835" w:type="dxa"/>
            <w:vAlign w:val="center"/>
          </w:tcPr>
          <w:p>
            <w:pPr>
              <w:pStyle w:val="28"/>
            </w:pPr>
            <w:r>
              <w:t>新增专项债券</w:t>
            </w:r>
          </w:p>
        </w:tc>
        <w:tc>
          <w:tcPr>
            <w:tcW w:w="2551" w:type="dxa"/>
            <w:vAlign w:val="center"/>
          </w:tcPr>
          <w:p>
            <w:pPr>
              <w:pStyle w:val="28"/>
            </w:pPr>
            <w:r>
              <w:t>684.7万元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债权人可有足额收到偿还款项</w:t>
            </w:r>
          </w:p>
        </w:tc>
        <w:tc>
          <w:tcPr>
            <w:tcW w:w="2835" w:type="dxa"/>
            <w:vAlign w:val="center"/>
          </w:tcPr>
          <w:p>
            <w:pPr>
              <w:pStyle w:val="28"/>
            </w:pPr>
            <w:r>
              <w:t>债权人可有足额收到偿还款项</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预期完成时限</w:t>
            </w:r>
          </w:p>
        </w:tc>
        <w:tc>
          <w:tcPr>
            <w:tcW w:w="2835" w:type="dxa"/>
            <w:vAlign w:val="center"/>
          </w:tcPr>
          <w:p>
            <w:pPr>
              <w:pStyle w:val="28"/>
            </w:pPr>
            <w:r>
              <w:t>预期完成时限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1090.7万元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有效落实专项债券使用及偿还本息政策</w:t>
            </w:r>
          </w:p>
        </w:tc>
        <w:tc>
          <w:tcPr>
            <w:tcW w:w="2835" w:type="dxa"/>
            <w:vAlign w:val="center"/>
          </w:tcPr>
          <w:p>
            <w:pPr>
              <w:pStyle w:val="28"/>
            </w:pPr>
            <w:r>
              <w:t>有效落实专项债券使用及偿还本息政策</w:t>
            </w:r>
          </w:p>
        </w:tc>
        <w:tc>
          <w:tcPr>
            <w:tcW w:w="2551" w:type="dxa"/>
            <w:vAlign w:val="center"/>
          </w:tcPr>
          <w:p>
            <w:pPr>
              <w:pStyle w:val="28"/>
            </w:pPr>
            <w:r>
              <w:t>有效落实专项债券使用及偿还本息政策</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可持续影响</w:t>
            </w:r>
          </w:p>
        </w:tc>
        <w:tc>
          <w:tcPr>
            <w:tcW w:w="2551" w:type="dxa"/>
            <w:vAlign w:val="center"/>
          </w:tcPr>
          <w:p>
            <w:pPr>
              <w:pStyle w:val="28"/>
            </w:pPr>
            <w:r>
              <w:t>良好</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公众满意度</w:t>
            </w:r>
          </w:p>
        </w:tc>
        <w:tc>
          <w:tcPr>
            <w:tcW w:w="2551" w:type="dxa"/>
            <w:vAlign w:val="center"/>
          </w:tcPr>
          <w:p>
            <w:pPr>
              <w:pStyle w:val="28"/>
            </w:pPr>
            <w:r>
              <w:t>≥95%</w:t>
            </w:r>
          </w:p>
        </w:tc>
        <w:tc>
          <w:tcPr>
            <w:tcW w:w="2268" w:type="dxa"/>
            <w:vAlign w:val="center"/>
          </w:tcPr>
          <w:p>
            <w:pPr>
              <w:pStyle w:val="28"/>
            </w:pPr>
            <w:r>
              <w:t>年度工作计划</w:t>
            </w:r>
          </w:p>
        </w:tc>
      </w:tr>
    </w:tbl>
    <w:p>
      <w:pPr>
        <w:pStyle w:val="26"/>
      </w:pPr>
    </w:p>
    <w:p>
      <w:pPr>
        <w:pStyle w:val="26"/>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、专项债券应付兑息服务费绩效目标表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1.及时拨付专项债券的手续费，保障业务按进度执行；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专项债券应付兑息服务费</w:t>
            </w:r>
          </w:p>
        </w:tc>
        <w:tc>
          <w:tcPr>
            <w:tcW w:w="2835" w:type="dxa"/>
            <w:vAlign w:val="center"/>
          </w:tcPr>
          <w:p>
            <w:pPr>
              <w:pStyle w:val="28"/>
            </w:pPr>
            <w:r>
              <w:t>专项债券应付兑息服务费</w:t>
            </w:r>
          </w:p>
        </w:tc>
        <w:tc>
          <w:tcPr>
            <w:tcW w:w="2551" w:type="dxa"/>
            <w:vAlign w:val="center"/>
          </w:tcPr>
          <w:p>
            <w:pPr>
              <w:pStyle w:val="28"/>
            </w:pPr>
            <w:r>
              <w:t>0.05万元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避免因手续费不足导致延误债券业务</w:t>
            </w:r>
          </w:p>
        </w:tc>
        <w:tc>
          <w:tcPr>
            <w:tcW w:w="2835" w:type="dxa"/>
            <w:vAlign w:val="center"/>
          </w:tcPr>
          <w:p>
            <w:pPr>
              <w:pStyle w:val="28"/>
            </w:pPr>
            <w:r>
              <w:t>避免因手续费不足导致延误债券业务</w:t>
            </w:r>
          </w:p>
        </w:tc>
        <w:tc>
          <w:tcPr>
            <w:tcW w:w="2551" w:type="dxa"/>
            <w:vAlign w:val="center"/>
          </w:tcPr>
          <w:p>
            <w:pPr>
              <w:pStyle w:val="28"/>
            </w:pPr>
            <w:r>
              <w:t>避免因手续费不足导致延误债券业务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预期完成时限</w:t>
            </w:r>
          </w:p>
        </w:tc>
        <w:tc>
          <w:tcPr>
            <w:tcW w:w="2835" w:type="dxa"/>
            <w:vAlign w:val="center"/>
          </w:tcPr>
          <w:p>
            <w:pPr>
              <w:pStyle w:val="28"/>
            </w:pPr>
            <w:r>
              <w:t>预期完成时限</w:t>
            </w:r>
          </w:p>
        </w:tc>
        <w:tc>
          <w:tcPr>
            <w:tcW w:w="2551" w:type="dxa"/>
            <w:vAlign w:val="center"/>
          </w:tcPr>
          <w:p>
            <w:pPr>
              <w:pStyle w:val="28"/>
            </w:pPr>
            <w:r>
              <w:t>2022年底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区级财政投入</w:t>
            </w:r>
          </w:p>
        </w:tc>
        <w:tc>
          <w:tcPr>
            <w:tcW w:w="2835" w:type="dxa"/>
            <w:vAlign w:val="center"/>
          </w:tcPr>
          <w:p>
            <w:pPr>
              <w:pStyle w:val="28"/>
            </w:pPr>
            <w:r>
              <w:t>区级财政投入</w:t>
            </w:r>
          </w:p>
        </w:tc>
        <w:tc>
          <w:tcPr>
            <w:tcW w:w="2551" w:type="dxa"/>
            <w:vAlign w:val="center"/>
          </w:tcPr>
          <w:p>
            <w:pPr>
              <w:pStyle w:val="28"/>
            </w:pPr>
            <w:r>
              <w:t>0.05万元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保障我区 2022 年债券业务正常进行</w:t>
            </w:r>
          </w:p>
        </w:tc>
        <w:tc>
          <w:tcPr>
            <w:tcW w:w="2835" w:type="dxa"/>
            <w:vAlign w:val="center"/>
          </w:tcPr>
          <w:p>
            <w:pPr>
              <w:pStyle w:val="28"/>
            </w:pPr>
            <w:r>
              <w:t>保障我区 2022 年债券业务正常进行</w:t>
            </w:r>
          </w:p>
        </w:tc>
        <w:tc>
          <w:tcPr>
            <w:tcW w:w="2551" w:type="dxa"/>
            <w:vAlign w:val="center"/>
          </w:tcPr>
          <w:p>
            <w:pPr>
              <w:pStyle w:val="28"/>
            </w:pPr>
            <w:r>
              <w:t>保障我区 2022 年债券业务正常进行</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可持续影响</w:t>
            </w:r>
          </w:p>
        </w:tc>
        <w:tc>
          <w:tcPr>
            <w:tcW w:w="2551" w:type="dxa"/>
            <w:vAlign w:val="center"/>
          </w:tcPr>
          <w:p>
            <w:pPr>
              <w:pStyle w:val="28"/>
            </w:pPr>
            <w:r>
              <w:t>良好</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公众满意度</w:t>
            </w:r>
          </w:p>
        </w:tc>
        <w:tc>
          <w:tcPr>
            <w:tcW w:w="2551" w:type="dxa"/>
            <w:vAlign w:val="center"/>
          </w:tcPr>
          <w:p>
            <w:pPr>
              <w:pStyle w:val="28"/>
            </w:pPr>
            <w:r>
              <w:t>≥95%</w:t>
            </w:r>
          </w:p>
        </w:tc>
        <w:tc>
          <w:tcPr>
            <w:tcW w:w="2268" w:type="dxa"/>
            <w:vAlign w:val="center"/>
          </w:tcPr>
          <w:p>
            <w:pPr>
              <w:pStyle w:val="28"/>
            </w:pPr>
            <w:r>
              <w:t>年度工作计划</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2022年，河北唐山芦台经济开发区财政局安排政府采购预算0.00万元。具体内容见下表。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河北唐山芦台经济开发区财政局</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河北唐山芦台经济开发区财政局（含所属单位）上年末固定资产金额为</w:t>
      </w:r>
      <w:r>
        <w:rPr>
          <w:rFonts w:hint="eastAsia" w:eastAsia="方正仿宋_GBK"/>
          <w:color w:val="000000"/>
          <w:sz w:val="28"/>
          <w:lang w:eastAsia="zh-CN"/>
        </w:rPr>
        <w:t>1439.97</w:t>
      </w:r>
      <w:r>
        <w:rPr>
          <w:rFonts w:eastAsia="方正仿宋_GBK"/>
          <w:color w:val="000000"/>
          <w:sz w:val="28"/>
        </w:rPr>
        <w:t>万元（详见下表）。本年度拟购置固定资产总额为0.00万元，已按要求列入政府采购预算，详见政府采购预算表。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lang w:eastAsia="zh-CN"/>
              </w:rPr>
            </w:pPr>
            <w:bookmarkStart w:id="16" w:name="_Toc_3_3_0000000017"/>
            <w:r>
              <w:t>河北唐山芦台经济开发区财政局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eastAsia" w:asciiTheme="minorEastAsia" w:hAnsiTheme="minorEastAsia" w:eastAsiaTheme="minorEastAsia"/>
                <w:lang w:eastAsia="zh-CN"/>
              </w:rPr>
              <w:t>房屋、土地</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1346.58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通用设备</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91.96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家具</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rFonts w:hint="eastAsia" w:eastAsiaTheme="minorEastAsia"/>
                <w:lang w:eastAsia="zh-CN"/>
              </w:rPr>
            </w:pPr>
            <w:r>
              <w:rPr>
                <w:rFonts w:hint="eastAsia" w:eastAsiaTheme="minorEastAsia"/>
                <w:lang w:eastAsia="zh-CN"/>
              </w:rPr>
              <w:t>合计</w:t>
            </w:r>
          </w:p>
        </w:tc>
        <w:tc>
          <w:tcPr>
            <w:tcW w:w="2835" w:type="dxa"/>
            <w:vAlign w:val="center"/>
          </w:tcPr>
          <w:p>
            <w:pPr>
              <w:pStyle w:val="15"/>
            </w:pPr>
          </w:p>
        </w:tc>
        <w:tc>
          <w:tcPr>
            <w:tcW w:w="2835" w:type="dxa"/>
            <w:vAlign w:val="center"/>
          </w:tcPr>
          <w:p>
            <w:pPr>
              <w:pStyle w:val="13"/>
              <w:jc w:val="center"/>
              <w:rPr>
                <w:rFonts w:hint="eastAsia" w:eastAsiaTheme="minorEastAsia"/>
                <w:lang w:eastAsia="zh-CN"/>
              </w:rPr>
            </w:pPr>
            <w:r>
              <w:rPr>
                <w:rFonts w:hint="eastAsia" w:eastAsiaTheme="minorEastAsia"/>
                <w:lang w:eastAsia="zh-CN"/>
              </w:rPr>
              <w:t>1439.97</w:t>
            </w:r>
          </w:p>
        </w:tc>
      </w:tr>
    </w:tbl>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AA9727-05E2-4E0E-A723-F89FFF17E2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C7A72269-E302-4A68-8F97-6B70EC01C592}"/>
  </w:font>
  <w:font w:name="方正小标宋_GBK">
    <w:altName w:val="Arial Unicode MS"/>
    <w:panose1 w:val="03000509000000000000"/>
    <w:charset w:val="86"/>
    <w:family w:val="script"/>
    <w:pitch w:val="default"/>
    <w:sig w:usb0="00000000" w:usb1="00000000" w:usb2="00000010" w:usb3="00000000" w:csb0="00040000" w:csb1="00000000"/>
    <w:embedRegular r:id="rId3" w:fontKey="{53C5E03D-C2D5-4DA3-96EC-9BB7F961A37C}"/>
  </w:font>
  <w:font w:name="方正书宋_GBK">
    <w:altName w:val="宋体"/>
    <w:panose1 w:val="00000000000000000000"/>
    <w:charset w:val="86"/>
    <w:family w:val="roman"/>
    <w:pitch w:val="default"/>
    <w:sig w:usb0="00000000" w:usb1="00000000" w:usb2="00000000" w:usb3="00000000" w:csb0="00000000" w:csb1="00000000"/>
    <w:embedRegular r:id="rId4" w:fontKey="{5BEEFDB4-6BAF-49D2-847C-8FA8BEBAFECD}"/>
  </w:font>
  <w:font w:name="PMingLiU">
    <w:panose1 w:val="02020500000000000000"/>
    <w:charset w:val="88"/>
    <w:family w:val="roman"/>
    <w:pitch w:val="default"/>
    <w:sig w:usb0="A00002FF" w:usb1="28CFFCFA" w:usb2="00000016" w:usb3="00000000" w:csb0="00100001" w:csb1="00000000"/>
  </w:font>
  <w:font w:name="方正楷体_GBK">
    <w:altName w:val="宋体"/>
    <w:panose1 w:val="00000000000000000000"/>
    <w:charset w:val="86"/>
    <w:family w:val="roman"/>
    <w:pitch w:val="default"/>
    <w:sig w:usb0="00000000" w:usb1="00000000" w:usb2="00000000" w:usb3="00000000" w:csb0="00000000" w:csb1="00000000"/>
    <w:embedRegular r:id="rId5" w:fontKey="{6F076B2B-B47E-43BE-AE9E-3697CF20C2FC}"/>
  </w:font>
  <w:font w:name="方正楷体简体">
    <w:altName w:val="宋体"/>
    <w:panose1 w:val="02010601030101010101"/>
    <w:charset w:val="86"/>
    <w:family w:val="auto"/>
    <w:pitch w:val="default"/>
    <w:sig w:usb0="00000000" w:usb1="00000000" w:usb2="00000010" w:usb3="00000000" w:csb0="00040000" w:csb1="00000000"/>
    <w:embedRegular r:id="rId6" w:fontKey="{25D9AB96-6804-40FB-81F3-83625343F458}"/>
  </w:font>
  <w:font w:name="Tahoma">
    <w:panose1 w:val="020B0604030504040204"/>
    <w:charset w:val="00"/>
    <w:family w:val="swiss"/>
    <w:pitch w:val="default"/>
    <w:sig w:usb0="E1002EFF" w:usb1="C000605B" w:usb2="00000029" w:usb3="00000000" w:csb0="200101FF" w:csb1="20280000"/>
    <w:embedRegular r:id="rId7" w:fontKey="{BAC3F376-6C55-411B-BA5E-C28271FA9C72}"/>
  </w:font>
  <w:font w:name="方正仿宋简体">
    <w:altName w:val="Arial Unicode MS"/>
    <w:panose1 w:val="02010601030101010101"/>
    <w:charset w:val="86"/>
    <w:family w:val="auto"/>
    <w:pitch w:val="default"/>
    <w:sig w:usb0="00000000" w:usb1="00000000" w:usb2="00000010" w:usb3="00000000" w:csb0="00040000" w:csb1="00000000"/>
    <w:embedRegular r:id="rId8" w:fontKey="{6D0446B0-E39C-480E-AAF2-556AFCD5A6B0}"/>
  </w:font>
  <w:font w:name="仿宋">
    <w:panose1 w:val="02010609060101010101"/>
    <w:charset w:val="86"/>
    <w:family w:val="modern"/>
    <w:pitch w:val="default"/>
    <w:sig w:usb0="800002BF" w:usb1="38CF7CFA" w:usb2="00000016" w:usb3="00000000" w:csb0="00040001" w:csb1="00000000"/>
    <w:embedRegular r:id="rId9" w:fontKey="{C38353E9-894A-4747-9E4F-43571775E32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F40D4"/>
    <w:multiLevelType w:val="multilevel"/>
    <w:tmpl w:val="2AAF40D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60271A"/>
    <w:rsid w:val="00015105"/>
    <w:rsid w:val="00025F6F"/>
    <w:rsid w:val="00092C97"/>
    <w:rsid w:val="003A1CFE"/>
    <w:rsid w:val="005E3B22"/>
    <w:rsid w:val="0060271A"/>
    <w:rsid w:val="006F1366"/>
    <w:rsid w:val="00725917"/>
    <w:rsid w:val="00BD361C"/>
    <w:rsid w:val="00BE3B23"/>
    <w:rsid w:val="00C43A96"/>
    <w:rsid w:val="00EE407A"/>
    <w:rsid w:val="00EE6757"/>
    <w:rsid w:val="62EE39C6"/>
    <w:rsid w:val="770B4987"/>
    <w:rsid w:val="7A22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8d7fc655-177f-4020-b4ff-33e6557b837c"/>
    <w:qFormat/>
    <w:uiPriority w:val="0"/>
    <w:rPr>
      <w:rFonts w:ascii="Times New Roman" w:hAnsi="Times New Roman" w:eastAsia="Times New Roman" w:cs="Times New Roman"/>
      <w:sz w:val="24"/>
      <w:szCs w:val="24"/>
      <w:lang w:val="en-US" w:eastAsia="uk-UA" w:bidi="ar-SA"/>
    </w:rPr>
  </w:style>
  <w:style w:type="paragraph" w:customStyle="1" w:styleId="27">
    <w:name w:val="单元格样式1_f9978404-8f1c-4ceb-88de-3055c57f4c14"/>
    <w:basedOn w:val="1"/>
    <w:qFormat/>
    <w:uiPriority w:val="0"/>
    <w:pPr>
      <w:jc w:val="center"/>
    </w:pPr>
    <w:rPr>
      <w:rFonts w:ascii="方正书宋_GBK" w:hAnsi="方正书宋_GBK" w:eastAsia="方正书宋_GBK" w:cs="方正书宋_GBK"/>
      <w:b/>
      <w:sz w:val="21"/>
    </w:rPr>
  </w:style>
  <w:style w:type="paragraph" w:customStyle="1" w:styleId="28">
    <w:name w:val="单元格样式2_14ec2b6c-8125-4be4-88e0-d7e680606b5a"/>
    <w:basedOn w:val="1"/>
    <w:qFormat/>
    <w:uiPriority w:val="0"/>
    <w:rPr>
      <w:rFonts w:ascii="方正书宋_GBK" w:hAnsi="方正书宋_GBK" w:eastAsia="方正书宋_GBK" w:cs="方正书宋_GBK"/>
      <w:sz w:val="21"/>
    </w:rPr>
  </w:style>
  <w:style w:type="paragraph" w:customStyle="1" w:styleId="29">
    <w:name w:val="单元格样式3_0fe9cc32-35cc-480e-82eb-eb7dc361604b"/>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able Paragraph"/>
    <w:basedOn w:val="1"/>
    <w:qFormat/>
    <w:uiPriority w:val="0"/>
    <w:pPr>
      <w:widowControl w:val="0"/>
      <w:autoSpaceDE w:val="0"/>
      <w:autoSpaceDN w:val="0"/>
    </w:pPr>
    <w:rPr>
      <w:rFonts w:ascii="PMingLiU" w:hAnsi="PMingLiU" w:eastAsia="PMingLiU" w:cs="宋体"/>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2022-02-17T16:43:21Z</dcterms:created>
  <dcterms:modified xsi:type="dcterms:W3CDTF">2022-02-17T08:43:21Z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2022-02-17T16:43:43Z</dcterms:created>
  <dcterms:modified xsi:type="dcterms:W3CDTF">2022-02-17T08:43:43Z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2022-02-17T16:44:14Z</dcterms:created>
  <dcterms:modified xsi:type="dcterms:W3CDTF">2022-02-17T08:44:14Z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2022-02-17T16:43:52Z</dcterms:created>
  <dcterms:modified xsi:type="dcterms:W3CDTF">2022-02-17T08:43:52Z</dcterms:modified>
</cp:coreProperties>
</file>

<file path=customXml/itemProps1.xml><?xml version="1.0" encoding="utf-8"?>
<ds:datastoreItem xmlns:ds="http://schemas.openxmlformats.org/officeDocument/2006/customXml" ds:itemID="{8D0832CC-4786-4268-A46D-27E2E2C55DDD}">
  <ds:schemaRefs/>
</ds:datastoreItem>
</file>

<file path=customXml/itemProps2.xml><?xml version="1.0" encoding="utf-8"?>
<ds:datastoreItem xmlns:ds="http://schemas.openxmlformats.org/officeDocument/2006/customXml" ds:itemID="{D1070C73-DF6E-408D-9960-36B338FEE04B}">
  <ds:schemaRefs/>
</ds:datastoreItem>
</file>

<file path=customXml/itemProps3.xml><?xml version="1.0" encoding="utf-8"?>
<ds:datastoreItem xmlns:ds="http://schemas.openxmlformats.org/officeDocument/2006/customXml" ds:itemID="{5F5B7764-E21B-41D1-9FD0-9809B6594055}">
  <ds:schemaRefs/>
</ds:datastoreItem>
</file>

<file path=customXml/itemProps4.xml><?xml version="1.0" encoding="utf-8"?>
<ds:datastoreItem xmlns:ds="http://schemas.openxmlformats.org/officeDocument/2006/customXml" ds:itemID="{9711EF91-B2C8-40F8-9396-5420C7C0D562}">
  <ds:schemaRefs/>
</ds:datastoreItem>
</file>

<file path=customXml/itemProps5.xml><?xml version="1.0" encoding="utf-8"?>
<ds:datastoreItem xmlns:ds="http://schemas.openxmlformats.org/officeDocument/2006/customXml" ds:itemID="{6509DAA4-149F-424C-8A7E-D6A6FC17E19D}">
  <ds:schemaRefs/>
</ds:datastoreItem>
</file>

<file path=customXml/itemProps6.xml><?xml version="1.0" encoding="utf-8"?>
<ds:datastoreItem xmlns:ds="http://schemas.openxmlformats.org/officeDocument/2006/customXml" ds:itemID="{717E48F9-EC06-4CA1-9878-8ED87A5A58E1}">
  <ds:schemaRefs/>
</ds:datastoreItem>
</file>

<file path=customXml/itemProps7.xml><?xml version="1.0" encoding="utf-8"?>
<ds:datastoreItem xmlns:ds="http://schemas.openxmlformats.org/officeDocument/2006/customXml" ds:itemID="{609C4B77-E803-43D1-82FE-4321FBEAC25C}">
  <ds:schemaRefs/>
</ds:datastoreItem>
</file>

<file path=customXml/itemProps8.xml><?xml version="1.0" encoding="utf-8"?>
<ds:datastoreItem xmlns:ds="http://schemas.openxmlformats.org/officeDocument/2006/customXml" ds:itemID="{C2170496-0629-4F59-B822-45C853DD62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3014</Words>
  <Characters>17183</Characters>
  <Lines>143</Lines>
  <Paragraphs>40</Paragraphs>
  <TotalTime>4</TotalTime>
  <ScaleCrop>false</ScaleCrop>
  <LinksUpToDate>false</LinksUpToDate>
  <CharactersWithSpaces>20157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2022-03-07T08:42:00Z</dcterms:created>
  <dc:creator>Lenovo</dc:creator>
  <cp:lastModifiedBy>*:.一二三</cp:lastModifiedBy>
  <dcterms:modified xsi:type="dcterms:W3CDTF">2023-09-04T10:48:35Z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20A08360285D43B59C5195BA6FFAA8DD_13</vt:lpwstr>
  </property>
</Properties>
</file>