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11" w:rsidRPr="00F05B11" w:rsidRDefault="00F05B11" w:rsidP="00F05B11">
      <w:pPr>
        <w:widowControl/>
        <w:spacing w:before="161" w:after="161"/>
        <w:jc w:val="center"/>
        <w:outlineLvl w:val="0"/>
        <w:rPr>
          <w:rFonts w:ascii="宋体" w:eastAsia="宋体" w:hAnsi="宋体" w:cs="宋体"/>
          <w:b/>
          <w:bCs/>
          <w:color w:val="333333"/>
          <w:kern w:val="36"/>
          <w:sz w:val="30"/>
          <w:szCs w:val="30"/>
        </w:rPr>
      </w:pPr>
      <w:r w:rsidRPr="00F05B11">
        <w:rPr>
          <w:rFonts w:ascii="宋体" w:eastAsia="宋体" w:hAnsi="宋体" w:cs="宋体" w:hint="eastAsia"/>
          <w:b/>
          <w:bCs/>
          <w:color w:val="333333"/>
          <w:kern w:val="36"/>
          <w:sz w:val="30"/>
          <w:szCs w:val="30"/>
        </w:rPr>
        <w:t>财政局2017年预算情况</w:t>
      </w:r>
    </w:p>
    <w:p w:rsidR="00F05B11" w:rsidRPr="00F05B11" w:rsidRDefault="00F05B11" w:rsidP="00F05B11">
      <w:pPr>
        <w:widowControl/>
        <w:spacing w:before="100" w:beforeAutospacing="1" w:after="100" w:afterAutospacing="1"/>
        <w:jc w:val="left"/>
        <w:rPr>
          <w:rFonts w:ascii="宋体" w:eastAsia="宋体" w:hAnsi="宋体" w:cs="宋体"/>
          <w:kern w:val="0"/>
          <w:sz w:val="24"/>
          <w:szCs w:val="24"/>
        </w:rPr>
      </w:pPr>
      <w:r w:rsidRPr="00F05B11">
        <w:rPr>
          <w:rFonts w:ascii="宋体" w:eastAsia="宋体" w:hAnsi="宋体" w:cs="宋体" w:hint="eastAsia"/>
          <w:color w:val="000000"/>
          <w:kern w:val="0"/>
          <w:sz w:val="32"/>
          <w:szCs w:val="32"/>
        </w:rPr>
        <w:t>一、部门职责、机构设置等基本情况</w:t>
      </w:r>
    </w:p>
    <w:p w:rsidR="00F05B11" w:rsidRPr="00F05B11" w:rsidRDefault="00F05B11" w:rsidP="00F05B11">
      <w:pPr>
        <w:widowControl/>
        <w:spacing w:line="580" w:lineRule="atLeast"/>
        <w:ind w:left="64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28"/>
          <w:szCs w:val="28"/>
        </w:rPr>
        <w:t>（一）部门职责</w:t>
      </w:r>
    </w:p>
    <w:p w:rsidR="00F05B11" w:rsidRPr="00F05B11" w:rsidRDefault="00F05B11" w:rsidP="00F05B11">
      <w:pPr>
        <w:widowControl/>
        <w:spacing w:line="480" w:lineRule="auto"/>
        <w:ind w:firstLine="980"/>
        <w:jc w:val="left"/>
        <w:rPr>
          <w:rFonts w:ascii="宋体" w:eastAsia="宋体" w:hAnsi="宋体" w:cs="宋体"/>
          <w:color w:val="222222"/>
          <w:kern w:val="0"/>
          <w:sz w:val="24"/>
          <w:szCs w:val="24"/>
        </w:rPr>
      </w:pPr>
      <w:r w:rsidRPr="00F05B11">
        <w:rPr>
          <w:rFonts w:ascii="Calibri" w:eastAsia="宋体" w:hAnsi="Calibri" w:cs="宋体" w:hint="eastAsia"/>
          <w:color w:val="000000"/>
          <w:kern w:val="0"/>
          <w:sz w:val="28"/>
          <w:szCs w:val="28"/>
        </w:rPr>
        <w:t>1</w:t>
      </w:r>
      <w:r w:rsidRPr="00F05B11">
        <w:rPr>
          <w:rFonts w:ascii="宋体" w:eastAsia="宋体" w:hAnsi="宋体" w:cs="宋体" w:hint="eastAsia"/>
          <w:color w:val="000000"/>
          <w:kern w:val="0"/>
          <w:sz w:val="28"/>
          <w:szCs w:val="28"/>
        </w:rPr>
        <w:t>、贯彻执行国家财政、税收、宏观经济等各项方针政策，参与拟定全区各项宏观经济政策，拟定和执行全区财政、税收的发展战略、方针政策、中长期规划、改革方案及其他有关政策，提出运用财税政策实施宏观调控和综合平衡社会财力的建议，拟定和执行区对乡及国家与企业的分配政策。</w:t>
      </w:r>
    </w:p>
    <w:p w:rsidR="00F05B11" w:rsidRPr="00F05B11" w:rsidRDefault="00F05B11" w:rsidP="00F05B11">
      <w:pPr>
        <w:widowControl/>
        <w:spacing w:line="480" w:lineRule="auto"/>
        <w:ind w:firstLine="980"/>
        <w:jc w:val="left"/>
        <w:rPr>
          <w:rFonts w:ascii="宋体" w:eastAsia="宋体" w:hAnsi="宋体" w:cs="宋体"/>
          <w:color w:val="222222"/>
          <w:kern w:val="0"/>
          <w:sz w:val="24"/>
          <w:szCs w:val="24"/>
        </w:rPr>
      </w:pPr>
      <w:r w:rsidRPr="00F05B11">
        <w:rPr>
          <w:rFonts w:ascii="Calibri" w:eastAsia="宋体" w:hAnsi="Calibri" w:cs="宋体" w:hint="eastAsia"/>
          <w:color w:val="000000"/>
          <w:kern w:val="0"/>
          <w:sz w:val="28"/>
          <w:szCs w:val="28"/>
        </w:rPr>
        <w:t>2</w:t>
      </w:r>
      <w:r w:rsidRPr="00F05B11">
        <w:rPr>
          <w:rFonts w:ascii="宋体" w:eastAsia="宋体" w:hAnsi="宋体" w:cs="宋体" w:hint="eastAsia"/>
          <w:color w:val="000000"/>
          <w:kern w:val="0"/>
          <w:sz w:val="28"/>
          <w:szCs w:val="28"/>
        </w:rPr>
        <w:t>、贯彻执行国家及省、市财政、财务、会计管理及行政事业单位国有资产管理的法律、法规、规章及各项方针政策，拟定全区财政、财务、会计管理及行政事业单位国有资产管理的规范性文件。</w:t>
      </w:r>
    </w:p>
    <w:p w:rsidR="00F05B11" w:rsidRPr="00F05B11" w:rsidRDefault="00F05B11" w:rsidP="00F05B11">
      <w:pPr>
        <w:widowControl/>
        <w:spacing w:line="480" w:lineRule="auto"/>
        <w:ind w:firstLine="980"/>
        <w:jc w:val="left"/>
        <w:rPr>
          <w:rFonts w:ascii="宋体" w:eastAsia="宋体" w:hAnsi="宋体" w:cs="宋体"/>
          <w:color w:val="222222"/>
          <w:kern w:val="0"/>
          <w:sz w:val="24"/>
          <w:szCs w:val="24"/>
        </w:rPr>
      </w:pPr>
      <w:r w:rsidRPr="00F05B11">
        <w:rPr>
          <w:rFonts w:ascii="Calibri" w:eastAsia="宋体" w:hAnsi="Calibri" w:cs="宋体" w:hint="eastAsia"/>
          <w:color w:val="000000"/>
          <w:kern w:val="0"/>
          <w:sz w:val="28"/>
          <w:szCs w:val="28"/>
        </w:rPr>
        <w:t>3</w:t>
      </w:r>
      <w:r w:rsidRPr="00F05B11">
        <w:rPr>
          <w:rFonts w:ascii="宋体" w:eastAsia="宋体" w:hAnsi="宋体" w:cs="宋体" w:hint="eastAsia"/>
          <w:color w:val="000000"/>
          <w:kern w:val="0"/>
          <w:sz w:val="28"/>
          <w:szCs w:val="28"/>
        </w:rPr>
        <w:t>、编制年度区本级预决算草案并组织执行。受区人民政府委托，向区人民代表大会报告全区和区级预算及其执行情况，向区人大常委会报告区本级预决算。深化部门预算改革，组织制定经费开支标准、定额，负责审核批复部门</w:t>
      </w:r>
      <w:r w:rsidRPr="00F05B11">
        <w:rPr>
          <w:rFonts w:ascii="Calibri" w:eastAsia="宋体" w:hAnsi="Calibri" w:cs="宋体" w:hint="eastAsia"/>
          <w:color w:val="000000"/>
          <w:kern w:val="0"/>
          <w:sz w:val="28"/>
          <w:szCs w:val="28"/>
        </w:rPr>
        <w:t>(</w:t>
      </w:r>
      <w:r w:rsidRPr="00F05B11">
        <w:rPr>
          <w:rFonts w:ascii="宋体" w:eastAsia="宋体" w:hAnsi="宋体" w:cs="宋体" w:hint="eastAsia"/>
          <w:color w:val="000000"/>
          <w:kern w:val="0"/>
          <w:sz w:val="28"/>
          <w:szCs w:val="28"/>
        </w:rPr>
        <w:t>单位</w:t>
      </w:r>
      <w:r w:rsidRPr="00F05B11">
        <w:rPr>
          <w:rFonts w:ascii="Calibri" w:eastAsia="宋体" w:hAnsi="Calibri" w:cs="宋体" w:hint="eastAsia"/>
          <w:color w:val="000000"/>
          <w:kern w:val="0"/>
          <w:sz w:val="28"/>
          <w:szCs w:val="28"/>
        </w:rPr>
        <w:t>)</w:t>
      </w:r>
      <w:r w:rsidRPr="00F05B11">
        <w:rPr>
          <w:rFonts w:ascii="宋体" w:eastAsia="宋体" w:hAnsi="宋体" w:cs="宋体" w:hint="eastAsia"/>
          <w:color w:val="000000"/>
          <w:kern w:val="0"/>
          <w:sz w:val="28"/>
          <w:szCs w:val="28"/>
        </w:rPr>
        <w:t>的年度预决算。完善转移支付制度。</w:t>
      </w:r>
    </w:p>
    <w:p w:rsidR="00F05B11" w:rsidRPr="00F05B11" w:rsidRDefault="00F05B11" w:rsidP="00F05B11">
      <w:pPr>
        <w:widowControl/>
        <w:spacing w:line="480" w:lineRule="auto"/>
        <w:ind w:firstLine="980"/>
        <w:jc w:val="left"/>
        <w:rPr>
          <w:rFonts w:ascii="宋体" w:eastAsia="宋体" w:hAnsi="宋体" w:cs="宋体"/>
          <w:color w:val="222222"/>
          <w:kern w:val="0"/>
          <w:sz w:val="24"/>
          <w:szCs w:val="24"/>
        </w:rPr>
      </w:pPr>
      <w:r w:rsidRPr="00F05B11">
        <w:rPr>
          <w:rFonts w:ascii="Calibri" w:eastAsia="宋体" w:hAnsi="Calibri" w:cs="宋体" w:hint="eastAsia"/>
          <w:color w:val="000000"/>
          <w:kern w:val="0"/>
          <w:sz w:val="28"/>
          <w:szCs w:val="28"/>
        </w:rPr>
        <w:t>4</w:t>
      </w:r>
      <w:r w:rsidRPr="00F05B11">
        <w:rPr>
          <w:rFonts w:ascii="宋体" w:eastAsia="宋体" w:hAnsi="宋体" w:cs="宋体" w:hint="eastAsia"/>
          <w:color w:val="000000"/>
          <w:kern w:val="0"/>
          <w:sz w:val="28"/>
          <w:szCs w:val="28"/>
        </w:rPr>
        <w:t>、负责政府非税收入管理，负责政府性基金管理及预算编制，按规定管理行政事业性收费。管理财政票据。拟定地方彩票管理制度，管理彩票市场，按规定管理彩票资金。负责煤炭可持续发展基金的管理和稽查。</w:t>
      </w:r>
    </w:p>
    <w:p w:rsidR="00F05B11" w:rsidRPr="00F05B11" w:rsidRDefault="00F05B11" w:rsidP="00F05B11">
      <w:pPr>
        <w:widowControl/>
        <w:spacing w:line="480" w:lineRule="auto"/>
        <w:ind w:firstLine="980"/>
        <w:jc w:val="left"/>
        <w:rPr>
          <w:rFonts w:ascii="宋体" w:eastAsia="宋体" w:hAnsi="宋体" w:cs="宋体"/>
          <w:color w:val="222222"/>
          <w:kern w:val="0"/>
          <w:sz w:val="24"/>
          <w:szCs w:val="24"/>
        </w:rPr>
      </w:pPr>
      <w:r w:rsidRPr="00F05B11">
        <w:rPr>
          <w:rFonts w:ascii="Calibri" w:eastAsia="宋体" w:hAnsi="Calibri" w:cs="宋体" w:hint="eastAsia"/>
          <w:color w:val="000000"/>
          <w:kern w:val="0"/>
          <w:sz w:val="28"/>
          <w:szCs w:val="28"/>
        </w:rPr>
        <w:lastRenderedPageBreak/>
        <w:t>5</w:t>
      </w:r>
      <w:r w:rsidRPr="00F05B11">
        <w:rPr>
          <w:rFonts w:ascii="宋体" w:eastAsia="宋体" w:hAnsi="宋体" w:cs="宋体" w:hint="eastAsia"/>
          <w:color w:val="000000"/>
          <w:kern w:val="0"/>
          <w:sz w:val="28"/>
          <w:szCs w:val="28"/>
        </w:rPr>
        <w:t>、贯彻执行国库管理制度、国库集中收付制度，推行区级财政国库集中收付制度并进行监督管理，指导全区推行财政国库集中收付制度工作。负责审核和编制汇总全区财政总决算和部门决算。负责管理区本级财政银行账户和区级预算单位银行账户。制定地方国库现金采购制度并监督管理，编制区级政府采购预算。</w:t>
      </w:r>
    </w:p>
    <w:p w:rsidR="00F05B11" w:rsidRPr="00F05B11" w:rsidRDefault="00F05B11" w:rsidP="00F05B11">
      <w:pPr>
        <w:widowControl/>
        <w:spacing w:line="480" w:lineRule="auto"/>
        <w:ind w:firstLine="980"/>
        <w:jc w:val="left"/>
        <w:rPr>
          <w:rFonts w:ascii="宋体" w:eastAsia="宋体" w:hAnsi="宋体" w:cs="宋体"/>
          <w:color w:val="222222"/>
          <w:kern w:val="0"/>
          <w:sz w:val="24"/>
          <w:szCs w:val="24"/>
        </w:rPr>
      </w:pPr>
      <w:r w:rsidRPr="00F05B11">
        <w:rPr>
          <w:rFonts w:ascii="Calibri" w:eastAsia="宋体" w:hAnsi="Calibri" w:cs="宋体" w:hint="eastAsia"/>
          <w:color w:val="000000"/>
          <w:kern w:val="0"/>
          <w:sz w:val="28"/>
          <w:szCs w:val="28"/>
        </w:rPr>
        <w:t>6</w:t>
      </w:r>
      <w:r w:rsidRPr="00F05B11">
        <w:rPr>
          <w:rFonts w:ascii="宋体" w:eastAsia="宋体" w:hAnsi="宋体" w:cs="宋体" w:hint="eastAsia"/>
          <w:color w:val="000000"/>
          <w:kern w:val="0"/>
          <w:sz w:val="28"/>
          <w:szCs w:val="28"/>
        </w:rPr>
        <w:t>、提出地方税收征管建议，参与拟定地方税收规范性文件工作，研究提出地方税收征管的调整建议。</w:t>
      </w:r>
    </w:p>
    <w:p w:rsidR="00F05B11" w:rsidRPr="00F05B11" w:rsidRDefault="00F05B11" w:rsidP="00F05B11">
      <w:pPr>
        <w:widowControl/>
        <w:spacing w:line="480" w:lineRule="auto"/>
        <w:ind w:firstLine="980"/>
        <w:jc w:val="left"/>
        <w:rPr>
          <w:rFonts w:ascii="宋体" w:eastAsia="宋体" w:hAnsi="宋体" w:cs="宋体"/>
          <w:color w:val="222222"/>
          <w:kern w:val="0"/>
          <w:sz w:val="24"/>
          <w:szCs w:val="24"/>
        </w:rPr>
      </w:pPr>
      <w:r w:rsidRPr="00F05B11">
        <w:rPr>
          <w:rFonts w:ascii="Calibri" w:eastAsia="宋体" w:hAnsi="Calibri" w:cs="宋体" w:hint="eastAsia"/>
          <w:color w:val="000000"/>
          <w:kern w:val="0"/>
          <w:sz w:val="28"/>
          <w:szCs w:val="28"/>
        </w:rPr>
        <w:t>7</w:t>
      </w:r>
      <w:r w:rsidRPr="00F05B11">
        <w:rPr>
          <w:rFonts w:ascii="宋体" w:eastAsia="宋体" w:hAnsi="宋体" w:cs="宋体" w:hint="eastAsia"/>
          <w:color w:val="000000"/>
          <w:kern w:val="0"/>
          <w:sz w:val="28"/>
          <w:szCs w:val="28"/>
        </w:rPr>
        <w:t>、拟定并组织实施全区行政事业单位国有资产及其收益管理的规章制度，建立行政事业单位国有资产配置、整合、调剂、共享、共用机制，负责管理区级行政事业单位国有资产及其收益，审核批复区级行政事业单位国有资产配置、处置、产权界定等事项。</w:t>
      </w:r>
    </w:p>
    <w:p w:rsidR="00F05B11" w:rsidRPr="00F05B11" w:rsidRDefault="00F05B11" w:rsidP="00F05B11">
      <w:pPr>
        <w:widowControl/>
        <w:spacing w:line="480" w:lineRule="auto"/>
        <w:ind w:firstLine="980"/>
        <w:jc w:val="left"/>
        <w:rPr>
          <w:rFonts w:ascii="宋体" w:eastAsia="宋体" w:hAnsi="宋体" w:cs="宋体"/>
          <w:color w:val="222222"/>
          <w:kern w:val="0"/>
          <w:sz w:val="24"/>
          <w:szCs w:val="24"/>
        </w:rPr>
      </w:pPr>
      <w:r w:rsidRPr="00F05B11">
        <w:rPr>
          <w:rFonts w:ascii="Calibri" w:eastAsia="宋体" w:hAnsi="Calibri" w:cs="宋体" w:hint="eastAsia"/>
          <w:color w:val="000000"/>
          <w:kern w:val="0"/>
          <w:sz w:val="28"/>
          <w:szCs w:val="28"/>
        </w:rPr>
        <w:t>8</w:t>
      </w:r>
      <w:r w:rsidRPr="00F05B11">
        <w:rPr>
          <w:rFonts w:ascii="宋体" w:eastAsia="宋体" w:hAnsi="宋体" w:cs="宋体" w:hint="eastAsia"/>
          <w:color w:val="000000"/>
          <w:kern w:val="0"/>
          <w:sz w:val="28"/>
          <w:szCs w:val="28"/>
        </w:rPr>
        <w:t>、制定全区国有资本经营预算的制度和办法，负责审核和汇总编制国有资本经营预决算草案，收取区级企业国有资本收益，制定并组织实施企业财务制度，管理区属地方金融类企业国有资产，参与拟定企业国有资产管理相关制度，按规定管理资产评估工作。</w:t>
      </w:r>
    </w:p>
    <w:p w:rsidR="00F05B11" w:rsidRPr="00F05B11" w:rsidRDefault="00F05B11" w:rsidP="00F05B11">
      <w:pPr>
        <w:widowControl/>
        <w:spacing w:line="480" w:lineRule="auto"/>
        <w:ind w:firstLine="980"/>
        <w:jc w:val="left"/>
        <w:rPr>
          <w:rFonts w:ascii="宋体" w:eastAsia="宋体" w:hAnsi="宋体" w:cs="宋体"/>
          <w:color w:val="222222"/>
          <w:kern w:val="0"/>
          <w:sz w:val="24"/>
          <w:szCs w:val="24"/>
        </w:rPr>
      </w:pPr>
      <w:r w:rsidRPr="00F05B11">
        <w:rPr>
          <w:rFonts w:ascii="Calibri" w:eastAsia="宋体" w:hAnsi="Calibri" w:cs="宋体" w:hint="eastAsia"/>
          <w:color w:val="000000"/>
          <w:kern w:val="0"/>
          <w:sz w:val="28"/>
          <w:szCs w:val="28"/>
        </w:rPr>
        <w:t>9</w:t>
      </w:r>
      <w:r w:rsidRPr="00F05B11">
        <w:rPr>
          <w:rFonts w:ascii="宋体" w:eastAsia="宋体" w:hAnsi="宋体" w:cs="宋体" w:hint="eastAsia"/>
          <w:color w:val="000000"/>
          <w:kern w:val="0"/>
          <w:sz w:val="28"/>
          <w:szCs w:val="28"/>
        </w:rPr>
        <w:t>、负责办理和监督区级财政的经济发展支出、区级政府性投资项目的财政拨款，参与拟定全区建设投资的有关政策，拟定基本建设财务制度，负责有关政策性补贴和专项储备资金财政管理工作。负责全区农业综合开发管理工作，指导和推动全区农村综合改革工作。</w:t>
      </w:r>
    </w:p>
    <w:p w:rsidR="00F05B11" w:rsidRPr="00F05B11" w:rsidRDefault="00F05B11" w:rsidP="00F05B11">
      <w:pPr>
        <w:widowControl/>
        <w:spacing w:line="480" w:lineRule="auto"/>
        <w:ind w:firstLine="980"/>
        <w:jc w:val="left"/>
        <w:rPr>
          <w:rFonts w:ascii="宋体" w:eastAsia="宋体" w:hAnsi="宋体" w:cs="宋体"/>
          <w:color w:val="222222"/>
          <w:kern w:val="0"/>
          <w:sz w:val="24"/>
          <w:szCs w:val="24"/>
        </w:rPr>
      </w:pPr>
      <w:r w:rsidRPr="00F05B11">
        <w:rPr>
          <w:rFonts w:ascii="Calibri" w:eastAsia="宋体" w:hAnsi="Calibri" w:cs="宋体" w:hint="eastAsia"/>
          <w:color w:val="000000"/>
          <w:kern w:val="0"/>
          <w:sz w:val="28"/>
          <w:szCs w:val="28"/>
        </w:rPr>
        <w:t>10</w:t>
      </w:r>
      <w:r w:rsidRPr="00F05B11">
        <w:rPr>
          <w:rFonts w:ascii="宋体" w:eastAsia="宋体" w:hAnsi="宋体" w:cs="宋体" w:hint="eastAsia"/>
          <w:color w:val="000000"/>
          <w:kern w:val="0"/>
          <w:sz w:val="28"/>
          <w:szCs w:val="28"/>
        </w:rPr>
        <w:t>、会同有关部门管理区级财政社会保障和就业及医疗卫生支出，会同有关部门拟定社会保障资金</w:t>
      </w:r>
      <w:r w:rsidRPr="00F05B11">
        <w:rPr>
          <w:rFonts w:ascii="Calibri" w:eastAsia="宋体" w:hAnsi="Calibri" w:cs="宋体" w:hint="eastAsia"/>
          <w:color w:val="000000"/>
          <w:kern w:val="0"/>
          <w:sz w:val="28"/>
          <w:szCs w:val="28"/>
        </w:rPr>
        <w:t>(</w:t>
      </w:r>
      <w:r w:rsidRPr="00F05B11">
        <w:rPr>
          <w:rFonts w:ascii="宋体" w:eastAsia="宋体" w:hAnsi="宋体" w:cs="宋体" w:hint="eastAsia"/>
          <w:color w:val="000000"/>
          <w:kern w:val="0"/>
          <w:sz w:val="28"/>
          <w:szCs w:val="28"/>
        </w:rPr>
        <w:t>基金</w:t>
      </w:r>
      <w:r w:rsidRPr="00F05B11">
        <w:rPr>
          <w:rFonts w:ascii="Calibri" w:eastAsia="宋体" w:hAnsi="Calibri" w:cs="宋体" w:hint="eastAsia"/>
          <w:color w:val="000000"/>
          <w:kern w:val="0"/>
          <w:sz w:val="28"/>
          <w:szCs w:val="28"/>
        </w:rPr>
        <w:t>)</w:t>
      </w:r>
      <w:r w:rsidRPr="00F05B11">
        <w:rPr>
          <w:rFonts w:ascii="宋体" w:eastAsia="宋体" w:hAnsi="宋体" w:cs="宋体" w:hint="eastAsia"/>
          <w:color w:val="000000"/>
          <w:kern w:val="0"/>
          <w:sz w:val="28"/>
          <w:szCs w:val="28"/>
        </w:rPr>
        <w:t>的财务管理制度，编制区本级社会保障预决算草案。</w:t>
      </w:r>
    </w:p>
    <w:p w:rsidR="00F05B11" w:rsidRPr="00F05B11" w:rsidRDefault="00F05B11" w:rsidP="00F05B11">
      <w:pPr>
        <w:widowControl/>
        <w:spacing w:line="580" w:lineRule="atLeast"/>
        <w:ind w:left="64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28"/>
          <w:szCs w:val="28"/>
        </w:rPr>
        <w:lastRenderedPageBreak/>
        <w:t>（二）机构设置</w:t>
      </w:r>
    </w:p>
    <w:p w:rsidR="00F05B11" w:rsidRPr="00F05B11" w:rsidRDefault="00F05B11" w:rsidP="00F05B11">
      <w:pPr>
        <w:widowControl/>
        <w:spacing w:line="480" w:lineRule="auto"/>
        <w:ind w:firstLine="98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28"/>
          <w:szCs w:val="28"/>
        </w:rPr>
        <w:t>我单位共设</w:t>
      </w:r>
      <w:r w:rsidRPr="00F05B11">
        <w:rPr>
          <w:rFonts w:ascii="Calibri" w:eastAsia="宋体" w:hAnsi="Calibri" w:cs="宋体" w:hint="eastAsia"/>
          <w:color w:val="000000"/>
          <w:kern w:val="0"/>
          <w:sz w:val="28"/>
          <w:szCs w:val="28"/>
        </w:rPr>
        <w:t>18</w:t>
      </w:r>
      <w:r w:rsidRPr="00F05B11">
        <w:rPr>
          <w:rFonts w:ascii="宋体" w:eastAsia="宋体" w:hAnsi="宋体" w:cs="宋体" w:hint="eastAsia"/>
          <w:color w:val="000000"/>
          <w:kern w:val="0"/>
          <w:sz w:val="28"/>
          <w:szCs w:val="28"/>
        </w:rPr>
        <w:t>个科室，分别是办公室、人事科、会计科、预算科、国库科、社保科、企业科、涉外科、采购办、农财科、农村综改科、条法科、经建科、监察科、收费科、综合科、支付中心、信息中心。</w:t>
      </w:r>
    </w:p>
    <w:p w:rsidR="00F05B11" w:rsidRPr="00F05B11" w:rsidRDefault="00F05B11" w:rsidP="00F05B11">
      <w:pPr>
        <w:widowControl/>
        <w:spacing w:line="580" w:lineRule="atLeast"/>
        <w:ind w:firstLine="64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32"/>
          <w:szCs w:val="32"/>
        </w:rPr>
        <w:t>二、部门预算安排总体情况</w:t>
      </w:r>
    </w:p>
    <w:p w:rsidR="00F05B11" w:rsidRPr="00F05B11" w:rsidRDefault="00F05B11" w:rsidP="00F05B11">
      <w:pPr>
        <w:widowControl/>
        <w:spacing w:line="360" w:lineRule="auto"/>
        <w:ind w:firstLine="64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32"/>
          <w:szCs w:val="32"/>
        </w:rPr>
        <w:t>1、收入说明：2017年财政局财政补助拨款6061.26万元。</w:t>
      </w:r>
    </w:p>
    <w:p w:rsidR="00F05B11" w:rsidRPr="00F05B11" w:rsidRDefault="00F05B11" w:rsidP="00F05B11">
      <w:pPr>
        <w:widowControl/>
        <w:spacing w:line="360" w:lineRule="auto"/>
        <w:ind w:firstLine="64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32"/>
          <w:szCs w:val="32"/>
        </w:rPr>
        <w:t>2、支出说明：2017年财政局财政支出6061.26万元，其中人员经费223.45万元；公用经费17.78万元；专项经费支出5820.03万元。</w:t>
      </w:r>
    </w:p>
    <w:p w:rsidR="00F05B11" w:rsidRPr="00F05B11" w:rsidRDefault="00F05B11" w:rsidP="00F05B11">
      <w:pPr>
        <w:widowControl/>
        <w:spacing w:line="360" w:lineRule="auto"/>
        <w:ind w:firstLine="640"/>
        <w:jc w:val="left"/>
        <w:rPr>
          <w:rFonts w:ascii="宋体" w:eastAsia="宋体" w:hAnsi="宋体" w:cs="宋体"/>
          <w:color w:val="222222"/>
          <w:kern w:val="0"/>
          <w:sz w:val="24"/>
          <w:szCs w:val="24"/>
        </w:rPr>
      </w:pPr>
      <w:r w:rsidRPr="00F05B11">
        <w:rPr>
          <w:rFonts w:ascii="Calibri" w:eastAsia="宋体" w:hAnsi="Calibri" w:cs="宋体"/>
          <w:color w:val="000000"/>
          <w:kern w:val="0"/>
          <w:sz w:val="32"/>
          <w:szCs w:val="32"/>
        </w:rPr>
        <w:t>3</w:t>
      </w:r>
      <w:r w:rsidRPr="00F05B11">
        <w:rPr>
          <w:rFonts w:ascii="宋体" w:eastAsia="宋体" w:hAnsi="宋体" w:cs="宋体" w:hint="eastAsia"/>
          <w:color w:val="000000"/>
          <w:kern w:val="0"/>
          <w:sz w:val="32"/>
          <w:szCs w:val="32"/>
        </w:rPr>
        <w:t>、比上年增减情况：</w:t>
      </w:r>
      <w:r w:rsidRPr="00F05B11">
        <w:rPr>
          <w:rFonts w:ascii="Calibri" w:eastAsia="宋体" w:hAnsi="Calibri" w:cs="宋体"/>
          <w:color w:val="000000"/>
          <w:kern w:val="0"/>
          <w:sz w:val="32"/>
          <w:szCs w:val="32"/>
        </w:rPr>
        <w:t>2017</w:t>
      </w:r>
      <w:r w:rsidRPr="00F05B11">
        <w:rPr>
          <w:rFonts w:ascii="宋体" w:eastAsia="宋体" w:hAnsi="宋体" w:cs="宋体" w:hint="eastAsia"/>
          <w:color w:val="000000"/>
          <w:kern w:val="0"/>
          <w:sz w:val="32"/>
          <w:szCs w:val="32"/>
        </w:rPr>
        <w:t>年比</w:t>
      </w:r>
      <w:r w:rsidRPr="00F05B11">
        <w:rPr>
          <w:rFonts w:ascii="Calibri" w:eastAsia="宋体" w:hAnsi="Calibri" w:cs="宋体"/>
          <w:color w:val="000000"/>
          <w:kern w:val="0"/>
          <w:sz w:val="32"/>
          <w:szCs w:val="32"/>
        </w:rPr>
        <w:t>2016</w:t>
      </w:r>
      <w:r w:rsidRPr="00F05B11">
        <w:rPr>
          <w:rFonts w:ascii="宋体" w:eastAsia="宋体" w:hAnsi="宋体" w:cs="宋体" w:hint="eastAsia"/>
          <w:color w:val="000000"/>
          <w:kern w:val="0"/>
          <w:sz w:val="32"/>
          <w:szCs w:val="32"/>
        </w:rPr>
        <w:t>年增加</w:t>
      </w:r>
      <w:r w:rsidRPr="00F05B11">
        <w:rPr>
          <w:rFonts w:ascii="Calibri" w:eastAsia="宋体" w:hAnsi="Calibri" w:cs="宋体"/>
          <w:color w:val="000000"/>
          <w:kern w:val="0"/>
          <w:sz w:val="32"/>
          <w:szCs w:val="32"/>
        </w:rPr>
        <w:t>5375.12</w:t>
      </w:r>
      <w:r w:rsidRPr="00F05B11">
        <w:rPr>
          <w:rFonts w:ascii="宋体" w:eastAsia="宋体" w:hAnsi="宋体" w:cs="宋体" w:hint="eastAsia"/>
          <w:color w:val="000000"/>
          <w:kern w:val="0"/>
          <w:sz w:val="32"/>
          <w:szCs w:val="32"/>
        </w:rPr>
        <w:t>万元；其中人员经费减少</w:t>
      </w:r>
      <w:r w:rsidRPr="00F05B11">
        <w:rPr>
          <w:rFonts w:ascii="Calibri" w:eastAsia="宋体" w:hAnsi="Calibri" w:cs="宋体"/>
          <w:color w:val="000000"/>
          <w:kern w:val="0"/>
          <w:sz w:val="32"/>
          <w:szCs w:val="32"/>
        </w:rPr>
        <w:t>21.28</w:t>
      </w:r>
      <w:r w:rsidRPr="00F05B11">
        <w:rPr>
          <w:rFonts w:ascii="宋体" w:eastAsia="宋体" w:hAnsi="宋体" w:cs="宋体" w:hint="eastAsia"/>
          <w:color w:val="000000"/>
          <w:kern w:val="0"/>
          <w:sz w:val="32"/>
          <w:szCs w:val="32"/>
        </w:rPr>
        <w:t>万元，原因是</w:t>
      </w:r>
      <w:r w:rsidRPr="00F05B11">
        <w:rPr>
          <w:rFonts w:ascii="Calibri" w:eastAsia="宋体" w:hAnsi="Calibri" w:cs="宋体"/>
          <w:color w:val="000000"/>
          <w:kern w:val="0"/>
          <w:sz w:val="32"/>
          <w:szCs w:val="32"/>
        </w:rPr>
        <w:t>2015</w:t>
      </w:r>
      <w:r w:rsidRPr="00F05B11">
        <w:rPr>
          <w:rFonts w:ascii="宋体" w:eastAsia="宋体" w:hAnsi="宋体" w:cs="宋体" w:hint="eastAsia"/>
          <w:color w:val="000000"/>
          <w:kern w:val="0"/>
          <w:sz w:val="32"/>
          <w:szCs w:val="32"/>
        </w:rPr>
        <w:t>年有增资，所以</w:t>
      </w:r>
      <w:r w:rsidRPr="00F05B11">
        <w:rPr>
          <w:rFonts w:ascii="Calibri" w:eastAsia="宋体" w:hAnsi="Calibri" w:cs="宋体"/>
          <w:color w:val="000000"/>
          <w:kern w:val="0"/>
          <w:sz w:val="32"/>
          <w:szCs w:val="32"/>
        </w:rPr>
        <w:t>2017</w:t>
      </w:r>
      <w:r w:rsidRPr="00F05B11">
        <w:rPr>
          <w:rFonts w:ascii="宋体" w:eastAsia="宋体" w:hAnsi="宋体" w:cs="宋体" w:hint="eastAsia"/>
          <w:color w:val="000000"/>
          <w:kern w:val="0"/>
          <w:sz w:val="32"/>
          <w:szCs w:val="32"/>
        </w:rPr>
        <w:t>年比</w:t>
      </w:r>
      <w:r w:rsidRPr="00F05B11">
        <w:rPr>
          <w:rFonts w:ascii="Calibri" w:eastAsia="宋体" w:hAnsi="Calibri" w:cs="宋体"/>
          <w:color w:val="000000"/>
          <w:kern w:val="0"/>
          <w:sz w:val="32"/>
          <w:szCs w:val="32"/>
        </w:rPr>
        <w:t>2016</w:t>
      </w:r>
      <w:r w:rsidRPr="00F05B11">
        <w:rPr>
          <w:rFonts w:ascii="宋体" w:eastAsia="宋体" w:hAnsi="宋体" w:cs="宋体" w:hint="eastAsia"/>
          <w:color w:val="000000"/>
          <w:kern w:val="0"/>
          <w:sz w:val="32"/>
          <w:szCs w:val="32"/>
        </w:rPr>
        <w:t>年人员经费相对减少；公用经费减少</w:t>
      </w:r>
      <w:r w:rsidRPr="00F05B11">
        <w:rPr>
          <w:rFonts w:ascii="Calibri" w:eastAsia="宋体" w:hAnsi="Calibri" w:cs="宋体"/>
          <w:color w:val="000000"/>
          <w:kern w:val="0"/>
          <w:sz w:val="32"/>
          <w:szCs w:val="32"/>
        </w:rPr>
        <w:t>4.09</w:t>
      </w:r>
      <w:r w:rsidRPr="00F05B11">
        <w:rPr>
          <w:rFonts w:ascii="宋体" w:eastAsia="宋体" w:hAnsi="宋体" w:cs="宋体" w:hint="eastAsia"/>
          <w:color w:val="000000"/>
          <w:kern w:val="0"/>
          <w:sz w:val="32"/>
          <w:szCs w:val="32"/>
        </w:rPr>
        <w:t>万元，原因是压缩支出，专项经费支出增加</w:t>
      </w:r>
      <w:r w:rsidRPr="00F05B11">
        <w:rPr>
          <w:rFonts w:ascii="Calibri" w:eastAsia="宋体" w:hAnsi="Calibri" w:cs="宋体"/>
          <w:color w:val="000000"/>
          <w:kern w:val="0"/>
          <w:sz w:val="32"/>
          <w:szCs w:val="32"/>
        </w:rPr>
        <w:t>5400.49</w:t>
      </w:r>
      <w:r w:rsidRPr="00F05B11">
        <w:rPr>
          <w:rFonts w:ascii="宋体" w:eastAsia="宋体" w:hAnsi="宋体" w:cs="宋体" w:hint="eastAsia"/>
          <w:color w:val="000000"/>
          <w:kern w:val="0"/>
          <w:sz w:val="32"/>
          <w:szCs w:val="32"/>
        </w:rPr>
        <w:t>万元，原因是</w:t>
      </w:r>
      <w:r w:rsidRPr="00F05B11">
        <w:rPr>
          <w:rFonts w:ascii="Calibri" w:eastAsia="宋体" w:hAnsi="Calibri" w:cs="宋体"/>
          <w:color w:val="000000"/>
          <w:kern w:val="0"/>
          <w:sz w:val="32"/>
          <w:szCs w:val="32"/>
        </w:rPr>
        <w:t>2017</w:t>
      </w:r>
      <w:r w:rsidRPr="00F05B11">
        <w:rPr>
          <w:rFonts w:ascii="宋体" w:eastAsia="宋体" w:hAnsi="宋体" w:cs="宋体" w:hint="eastAsia"/>
          <w:color w:val="000000"/>
          <w:kern w:val="0"/>
          <w:sz w:val="32"/>
          <w:szCs w:val="32"/>
        </w:rPr>
        <w:t>年公开口径与</w:t>
      </w:r>
      <w:r w:rsidRPr="00F05B11">
        <w:rPr>
          <w:rFonts w:ascii="Calibri" w:eastAsia="宋体" w:hAnsi="Calibri" w:cs="宋体"/>
          <w:color w:val="000000"/>
          <w:kern w:val="0"/>
          <w:sz w:val="32"/>
          <w:szCs w:val="32"/>
        </w:rPr>
        <w:t>2016</w:t>
      </w:r>
      <w:r w:rsidRPr="00F05B11">
        <w:rPr>
          <w:rFonts w:ascii="宋体" w:eastAsia="宋体" w:hAnsi="宋体" w:cs="宋体" w:hint="eastAsia"/>
          <w:color w:val="000000"/>
          <w:kern w:val="0"/>
          <w:sz w:val="32"/>
          <w:szCs w:val="32"/>
        </w:rPr>
        <w:t>年不同，把由于一体化平台中没有预算单位的专项列入财政局。</w:t>
      </w:r>
    </w:p>
    <w:p w:rsidR="00F05B11" w:rsidRPr="00F05B11" w:rsidRDefault="00F05B11" w:rsidP="00F05B11">
      <w:pPr>
        <w:widowControl/>
        <w:ind w:firstLine="60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28"/>
          <w:szCs w:val="28"/>
        </w:rPr>
        <w:t>三、机关运行经费安排情况</w:t>
      </w:r>
    </w:p>
    <w:p w:rsidR="00F05B11" w:rsidRPr="00F05B11" w:rsidRDefault="00F05B11" w:rsidP="00F05B11">
      <w:pPr>
        <w:widowControl/>
        <w:ind w:firstLine="60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28"/>
          <w:szCs w:val="28"/>
        </w:rPr>
        <w:t>2017年财政局共安排机关运行经费17.78万元，主要包括以下项目：</w:t>
      </w:r>
    </w:p>
    <w:p w:rsidR="00F05B11" w:rsidRPr="00F05B11" w:rsidRDefault="00F05B11" w:rsidP="00F05B11">
      <w:pPr>
        <w:widowControl/>
        <w:ind w:firstLine="60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28"/>
          <w:szCs w:val="28"/>
        </w:rPr>
        <w:t>1、日常公用经费14.31万元，其中：办公费0.7万元，水费0.05万元，电费2.9万元，邮电费0.98万元，取暖费2.42万元，差旅费</w:t>
      </w:r>
      <w:r w:rsidRPr="00F05B11">
        <w:rPr>
          <w:rFonts w:ascii="宋体" w:eastAsia="宋体" w:hAnsi="宋体" w:cs="宋体" w:hint="eastAsia"/>
          <w:color w:val="000000"/>
          <w:kern w:val="0"/>
          <w:sz w:val="28"/>
          <w:szCs w:val="28"/>
        </w:rPr>
        <w:lastRenderedPageBreak/>
        <w:t>2.1万元，会议费0.28万元，培训费1.8万元，公务接待费0.14万元，其他商品和服务支出2.94万元。</w:t>
      </w:r>
    </w:p>
    <w:p w:rsidR="00F05B11" w:rsidRPr="00F05B11" w:rsidRDefault="00F05B11" w:rsidP="00F05B11">
      <w:pPr>
        <w:widowControl/>
        <w:ind w:firstLine="60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28"/>
          <w:szCs w:val="28"/>
        </w:rPr>
        <w:t>2、工会经费2.4万元。</w:t>
      </w:r>
    </w:p>
    <w:p w:rsidR="00F05B11" w:rsidRPr="00F05B11" w:rsidRDefault="00F05B11" w:rsidP="00F05B11">
      <w:pPr>
        <w:widowControl/>
        <w:ind w:firstLine="60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28"/>
          <w:szCs w:val="28"/>
        </w:rPr>
        <w:t>3、福利费1.07万元。</w:t>
      </w:r>
    </w:p>
    <w:p w:rsidR="00F05B11" w:rsidRPr="00F05B11" w:rsidRDefault="00F05B11" w:rsidP="00F05B11">
      <w:pPr>
        <w:widowControl/>
        <w:spacing w:line="580" w:lineRule="atLeast"/>
        <w:ind w:firstLine="64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32"/>
          <w:szCs w:val="32"/>
        </w:rPr>
        <w:t>四、财政拨款“三公”经费预算情况</w:t>
      </w:r>
    </w:p>
    <w:p w:rsidR="00F05B11" w:rsidRPr="00F05B11" w:rsidRDefault="00F05B11" w:rsidP="00F05B11">
      <w:pPr>
        <w:widowControl/>
        <w:spacing w:line="580" w:lineRule="atLeast"/>
        <w:ind w:firstLine="64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32"/>
          <w:szCs w:val="32"/>
        </w:rPr>
        <w:t>2017年区财政局安排 “三公经费” 7.94  万元，其中2017年因公出国费0万元，较2016年0万元，与上年持平；2017年公务接待费0.64万元，较2016年度预算0.75万元，减少0.11万元,原因是压缩公务接待费支出；2017年公务车购置和运行维护费7万元（购置费0万元，公务车运行费7万元），较2016年7万元,与上年持平。</w:t>
      </w:r>
    </w:p>
    <w:p w:rsidR="00F05B11" w:rsidRPr="00F05B11" w:rsidRDefault="00F05B11" w:rsidP="00F05B11">
      <w:pPr>
        <w:widowControl/>
        <w:spacing w:line="580" w:lineRule="atLeast"/>
        <w:ind w:firstLine="64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32"/>
          <w:szCs w:val="32"/>
        </w:rPr>
        <w:t>五、绩效预算信息情况</w:t>
      </w:r>
    </w:p>
    <w:tbl>
      <w:tblPr>
        <w:tblW w:w="5000" w:type="pct"/>
        <w:jc w:val="center"/>
        <w:tblCellMar>
          <w:left w:w="0" w:type="dxa"/>
          <w:right w:w="0" w:type="dxa"/>
        </w:tblCellMar>
        <w:tblLook w:val="04A0"/>
      </w:tblPr>
      <w:tblGrid>
        <w:gridCol w:w="1427"/>
        <w:gridCol w:w="776"/>
        <w:gridCol w:w="1815"/>
        <w:gridCol w:w="1815"/>
        <w:gridCol w:w="861"/>
        <w:gridCol w:w="457"/>
        <w:gridCol w:w="457"/>
        <w:gridCol w:w="457"/>
        <w:gridCol w:w="457"/>
      </w:tblGrid>
      <w:tr w:rsidR="00F05B11" w:rsidRPr="00F05B11" w:rsidTr="00F05B11">
        <w:trPr>
          <w:trHeight w:val="227"/>
          <w:tblHeader/>
          <w:jc w:val="center"/>
        </w:trPr>
        <w:tc>
          <w:tcPr>
            <w:tcW w:w="3942" w:type="pct"/>
            <w:gridSpan w:val="5"/>
            <w:tcBorders>
              <w:top w:val="single" w:sz="8" w:space="0" w:color="FFFFFF"/>
              <w:left w:val="single" w:sz="8" w:space="0" w:color="FFFFFF"/>
              <w:bottom w:val="single" w:sz="8" w:space="0" w:color="000000"/>
              <w:right w:val="single" w:sz="8" w:space="0" w:color="FFFFFF"/>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left"/>
              <w:rPr>
                <w:rFonts w:ascii="宋体" w:eastAsia="宋体" w:hAnsi="宋体" w:cs="宋体"/>
                <w:color w:val="222222"/>
                <w:kern w:val="0"/>
                <w:sz w:val="24"/>
                <w:szCs w:val="24"/>
              </w:rPr>
            </w:pPr>
            <w:r w:rsidRPr="00F05B11">
              <w:rPr>
                <w:rFonts w:ascii="Times New Roman" w:eastAsia="宋体" w:hAnsi="Times New Roman" w:cs="Times New Roman"/>
                <w:color w:val="000000"/>
                <w:kern w:val="0"/>
                <w:sz w:val="24"/>
                <w:szCs w:val="24"/>
              </w:rPr>
              <w:t> </w:t>
            </w:r>
          </w:p>
        </w:tc>
        <w:tc>
          <w:tcPr>
            <w:tcW w:w="1058" w:type="pct"/>
            <w:gridSpan w:val="4"/>
            <w:tcBorders>
              <w:top w:val="single" w:sz="8" w:space="0" w:color="FFFFFF"/>
              <w:left w:val="outset" w:sz="6" w:space="0" w:color="F0F0F0"/>
              <w:bottom w:val="single" w:sz="8" w:space="0" w:color="000000"/>
              <w:right w:val="single" w:sz="8" w:space="0" w:color="FFFFFF"/>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right"/>
              <w:rPr>
                <w:rFonts w:ascii="宋体" w:eastAsia="宋体" w:hAnsi="宋体" w:cs="宋体"/>
                <w:color w:val="222222"/>
                <w:kern w:val="0"/>
                <w:sz w:val="24"/>
                <w:szCs w:val="24"/>
              </w:rPr>
            </w:pPr>
            <w:r w:rsidRPr="00F05B11">
              <w:rPr>
                <w:rFonts w:ascii="Times New Roman" w:eastAsia="宋体" w:hAnsi="Times New Roman" w:cs="Times New Roman"/>
                <w:color w:val="000000"/>
                <w:kern w:val="0"/>
                <w:sz w:val="24"/>
                <w:szCs w:val="24"/>
              </w:rPr>
              <w:t>单位：万元</w:t>
            </w:r>
          </w:p>
        </w:tc>
      </w:tr>
      <w:tr w:rsidR="00F05B11" w:rsidRPr="00F05B11" w:rsidTr="00F05B11">
        <w:trPr>
          <w:trHeight w:val="227"/>
          <w:tblHeader/>
          <w:jc w:val="center"/>
        </w:trPr>
        <w:tc>
          <w:tcPr>
            <w:tcW w:w="840" w:type="pct"/>
            <w:vMerge w:val="restart"/>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b/>
                <w:bCs/>
                <w:color w:val="000000"/>
                <w:kern w:val="0"/>
                <w:sz w:val="24"/>
                <w:szCs w:val="24"/>
              </w:rPr>
              <w:t>职责活动</w:t>
            </w:r>
          </w:p>
        </w:tc>
        <w:tc>
          <w:tcPr>
            <w:tcW w:w="458" w:type="pct"/>
            <w:vMerge w:val="restar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b/>
                <w:bCs/>
                <w:color w:val="000000"/>
                <w:kern w:val="0"/>
                <w:sz w:val="24"/>
                <w:szCs w:val="24"/>
              </w:rPr>
              <w:t>年度预算数</w:t>
            </w:r>
          </w:p>
        </w:tc>
        <w:tc>
          <w:tcPr>
            <w:tcW w:w="1068" w:type="pct"/>
            <w:vMerge w:val="restar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b/>
                <w:bCs/>
                <w:color w:val="000000"/>
                <w:kern w:val="0"/>
                <w:sz w:val="24"/>
                <w:szCs w:val="24"/>
              </w:rPr>
              <w:t>内容描述</w:t>
            </w:r>
          </w:p>
        </w:tc>
        <w:tc>
          <w:tcPr>
            <w:tcW w:w="1068" w:type="pct"/>
            <w:vMerge w:val="restar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b/>
                <w:bCs/>
                <w:color w:val="000000"/>
                <w:kern w:val="0"/>
                <w:sz w:val="24"/>
                <w:szCs w:val="24"/>
              </w:rPr>
              <w:t>绩效目标</w:t>
            </w:r>
          </w:p>
        </w:tc>
        <w:tc>
          <w:tcPr>
            <w:tcW w:w="508" w:type="pct"/>
            <w:vMerge w:val="restar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b/>
                <w:bCs/>
                <w:color w:val="000000"/>
                <w:kern w:val="0"/>
                <w:sz w:val="24"/>
                <w:szCs w:val="24"/>
              </w:rPr>
              <w:t>绩效指标</w:t>
            </w:r>
          </w:p>
        </w:tc>
        <w:tc>
          <w:tcPr>
            <w:tcW w:w="1058" w:type="pct"/>
            <w:gridSpan w:val="4"/>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b/>
                <w:bCs/>
                <w:color w:val="000000"/>
                <w:kern w:val="0"/>
                <w:sz w:val="24"/>
                <w:szCs w:val="24"/>
              </w:rPr>
              <w:t>评价标准</w:t>
            </w:r>
          </w:p>
        </w:tc>
      </w:tr>
      <w:tr w:rsidR="00F05B11" w:rsidRPr="00F05B11" w:rsidTr="00F05B11">
        <w:trPr>
          <w:trHeight w:val="227"/>
          <w:tblHeader/>
          <w:jc w:val="center"/>
        </w:trPr>
        <w:tc>
          <w:tcPr>
            <w:tcW w:w="0" w:type="auto"/>
            <w:vMerge/>
            <w:tcBorders>
              <w:top w:val="outset" w:sz="6" w:space="0" w:color="F0F0F0"/>
              <w:left w:val="single" w:sz="8" w:space="0" w:color="000000"/>
              <w:bottom w:val="single" w:sz="8" w:space="0" w:color="000000"/>
              <w:right w:val="single" w:sz="8" w:space="0" w:color="000000"/>
            </w:tcBorders>
            <w:vAlign w:val="center"/>
            <w:hideMark/>
          </w:tcPr>
          <w:p w:rsidR="00F05B11" w:rsidRPr="00F05B11" w:rsidRDefault="00F05B11" w:rsidP="00F05B11">
            <w:pPr>
              <w:widowControl/>
              <w:jc w:val="left"/>
              <w:rPr>
                <w:rFonts w:ascii="宋体" w:eastAsia="宋体" w:hAnsi="宋体" w:cs="宋体"/>
                <w:color w:val="222222"/>
                <w:kern w:val="0"/>
                <w:sz w:val="24"/>
                <w:szCs w:val="24"/>
              </w:rPr>
            </w:pPr>
          </w:p>
        </w:tc>
        <w:tc>
          <w:tcPr>
            <w:tcW w:w="0" w:type="auto"/>
            <w:vMerge/>
            <w:tcBorders>
              <w:top w:val="outset" w:sz="6" w:space="0" w:color="F0F0F0"/>
              <w:left w:val="outset" w:sz="6" w:space="0" w:color="F0F0F0"/>
              <w:bottom w:val="single" w:sz="8" w:space="0" w:color="000000"/>
              <w:right w:val="single" w:sz="8" w:space="0" w:color="000000"/>
            </w:tcBorders>
            <w:vAlign w:val="center"/>
            <w:hideMark/>
          </w:tcPr>
          <w:p w:rsidR="00F05B11" w:rsidRPr="00F05B11" w:rsidRDefault="00F05B11" w:rsidP="00F05B11">
            <w:pPr>
              <w:widowControl/>
              <w:jc w:val="left"/>
              <w:rPr>
                <w:rFonts w:ascii="宋体" w:eastAsia="宋体" w:hAnsi="宋体" w:cs="宋体"/>
                <w:color w:val="222222"/>
                <w:kern w:val="0"/>
                <w:sz w:val="24"/>
                <w:szCs w:val="24"/>
              </w:rPr>
            </w:pPr>
          </w:p>
        </w:tc>
        <w:tc>
          <w:tcPr>
            <w:tcW w:w="0" w:type="auto"/>
            <w:vMerge/>
            <w:tcBorders>
              <w:top w:val="outset" w:sz="6" w:space="0" w:color="F0F0F0"/>
              <w:left w:val="outset" w:sz="6" w:space="0" w:color="F0F0F0"/>
              <w:bottom w:val="single" w:sz="8" w:space="0" w:color="000000"/>
              <w:right w:val="single" w:sz="8" w:space="0" w:color="000000"/>
            </w:tcBorders>
            <w:vAlign w:val="center"/>
            <w:hideMark/>
          </w:tcPr>
          <w:p w:rsidR="00F05B11" w:rsidRPr="00F05B11" w:rsidRDefault="00F05B11" w:rsidP="00F05B11">
            <w:pPr>
              <w:widowControl/>
              <w:jc w:val="left"/>
              <w:rPr>
                <w:rFonts w:ascii="宋体" w:eastAsia="宋体" w:hAnsi="宋体" w:cs="宋体"/>
                <w:color w:val="222222"/>
                <w:kern w:val="0"/>
                <w:sz w:val="24"/>
                <w:szCs w:val="24"/>
              </w:rPr>
            </w:pPr>
          </w:p>
        </w:tc>
        <w:tc>
          <w:tcPr>
            <w:tcW w:w="0" w:type="auto"/>
            <w:vMerge/>
            <w:tcBorders>
              <w:top w:val="outset" w:sz="6" w:space="0" w:color="F0F0F0"/>
              <w:left w:val="outset" w:sz="6" w:space="0" w:color="F0F0F0"/>
              <w:bottom w:val="single" w:sz="8" w:space="0" w:color="000000"/>
              <w:right w:val="single" w:sz="8" w:space="0" w:color="000000"/>
            </w:tcBorders>
            <w:vAlign w:val="center"/>
            <w:hideMark/>
          </w:tcPr>
          <w:p w:rsidR="00F05B11" w:rsidRPr="00F05B11" w:rsidRDefault="00F05B11" w:rsidP="00F05B11">
            <w:pPr>
              <w:widowControl/>
              <w:jc w:val="left"/>
              <w:rPr>
                <w:rFonts w:ascii="宋体" w:eastAsia="宋体" w:hAnsi="宋体" w:cs="宋体"/>
                <w:color w:val="222222"/>
                <w:kern w:val="0"/>
                <w:sz w:val="24"/>
                <w:szCs w:val="24"/>
              </w:rPr>
            </w:pPr>
          </w:p>
        </w:tc>
        <w:tc>
          <w:tcPr>
            <w:tcW w:w="0" w:type="auto"/>
            <w:vMerge/>
            <w:tcBorders>
              <w:top w:val="outset" w:sz="6" w:space="0" w:color="F0F0F0"/>
              <w:left w:val="outset" w:sz="6" w:space="0" w:color="F0F0F0"/>
              <w:bottom w:val="single" w:sz="8" w:space="0" w:color="000000"/>
              <w:right w:val="single" w:sz="8" w:space="0" w:color="000000"/>
            </w:tcBorders>
            <w:vAlign w:val="center"/>
            <w:hideMark/>
          </w:tcPr>
          <w:p w:rsidR="00F05B11" w:rsidRPr="00F05B11" w:rsidRDefault="00F05B11" w:rsidP="00F05B11">
            <w:pPr>
              <w:widowControl/>
              <w:jc w:val="left"/>
              <w:rPr>
                <w:rFonts w:ascii="宋体" w:eastAsia="宋体" w:hAnsi="宋体" w:cs="宋体"/>
                <w:color w:val="222222"/>
                <w:kern w:val="0"/>
                <w:sz w:val="24"/>
                <w:szCs w:val="24"/>
              </w:rPr>
            </w:pPr>
          </w:p>
        </w:tc>
        <w:tc>
          <w:tcPr>
            <w:tcW w:w="264"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b/>
                <w:bCs/>
                <w:color w:val="000000"/>
                <w:kern w:val="0"/>
                <w:sz w:val="24"/>
                <w:szCs w:val="24"/>
              </w:rPr>
              <w:t>优</w:t>
            </w:r>
          </w:p>
        </w:tc>
        <w:tc>
          <w:tcPr>
            <w:tcW w:w="264"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b/>
                <w:bCs/>
                <w:color w:val="000000"/>
                <w:kern w:val="0"/>
                <w:sz w:val="24"/>
                <w:szCs w:val="24"/>
              </w:rPr>
              <w:t>良</w:t>
            </w:r>
          </w:p>
        </w:tc>
        <w:tc>
          <w:tcPr>
            <w:tcW w:w="264"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b/>
                <w:bCs/>
                <w:color w:val="000000"/>
                <w:kern w:val="0"/>
                <w:sz w:val="24"/>
                <w:szCs w:val="24"/>
              </w:rPr>
              <w:t>中</w:t>
            </w:r>
          </w:p>
        </w:tc>
        <w:tc>
          <w:tcPr>
            <w:tcW w:w="264"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b/>
                <w:bCs/>
                <w:color w:val="000000"/>
                <w:kern w:val="0"/>
                <w:sz w:val="24"/>
                <w:szCs w:val="24"/>
              </w:rPr>
              <w:t>差</w:t>
            </w:r>
          </w:p>
        </w:tc>
      </w:tr>
      <w:tr w:rsidR="00F05B11" w:rsidRPr="00F05B11" w:rsidTr="00F05B11">
        <w:trPr>
          <w:trHeight w:val="227"/>
          <w:jc w:val="center"/>
        </w:trPr>
        <w:tc>
          <w:tcPr>
            <w:tcW w:w="840" w:type="pct"/>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left"/>
              <w:rPr>
                <w:rFonts w:ascii="宋体" w:eastAsia="宋体" w:hAnsi="宋体" w:cs="宋体"/>
                <w:color w:val="222222"/>
                <w:kern w:val="0"/>
                <w:sz w:val="24"/>
                <w:szCs w:val="24"/>
              </w:rPr>
            </w:pPr>
            <w:r w:rsidRPr="00F05B11">
              <w:rPr>
                <w:rFonts w:ascii="Times New Roman" w:eastAsia="宋体" w:hAnsi="Times New Roman" w:cs="Times New Roman"/>
                <w:b/>
                <w:bCs/>
                <w:color w:val="000000"/>
                <w:kern w:val="0"/>
                <w:sz w:val="24"/>
                <w:szCs w:val="24"/>
              </w:rPr>
              <w:t>供暖补贴</w:t>
            </w:r>
          </w:p>
        </w:tc>
        <w:tc>
          <w:tcPr>
            <w:tcW w:w="458"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left"/>
              <w:rPr>
                <w:rFonts w:ascii="宋体" w:eastAsia="宋体" w:hAnsi="宋体" w:cs="宋体"/>
                <w:color w:val="222222"/>
                <w:kern w:val="0"/>
                <w:sz w:val="24"/>
                <w:szCs w:val="24"/>
              </w:rPr>
            </w:pPr>
            <w:r w:rsidRPr="00F05B11">
              <w:rPr>
                <w:rFonts w:ascii="Times New Roman" w:eastAsia="宋体" w:hAnsi="Times New Roman" w:cs="Times New Roman"/>
                <w:color w:val="000000"/>
                <w:kern w:val="0"/>
                <w:sz w:val="24"/>
                <w:szCs w:val="24"/>
              </w:rPr>
              <w:t>300</w:t>
            </w:r>
          </w:p>
        </w:tc>
        <w:tc>
          <w:tcPr>
            <w:tcW w:w="1068"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left"/>
              <w:rPr>
                <w:rFonts w:ascii="宋体" w:eastAsia="宋体" w:hAnsi="宋体" w:cs="宋体"/>
                <w:color w:val="222222"/>
                <w:kern w:val="0"/>
                <w:sz w:val="24"/>
                <w:szCs w:val="24"/>
              </w:rPr>
            </w:pPr>
            <w:r w:rsidRPr="00F05B11">
              <w:rPr>
                <w:rFonts w:ascii="宋体" w:eastAsia="宋体" w:hAnsi="宋体" w:cs="宋体" w:hint="eastAsia"/>
                <w:color w:val="333333"/>
                <w:kern w:val="0"/>
                <w:sz w:val="24"/>
                <w:szCs w:val="24"/>
                <w:shd w:val="clear" w:color="auto" w:fill="FFFFFF"/>
              </w:rPr>
              <w:t>稳步推行我区用热商品化、供热社会化，逐步建立符合我区情况的供热新体制；加大技术创新力度，促进节能建筑在我区推广应用，推进供热事业的健康发展，满足全区人民生活水平不断提高的需要。</w:t>
            </w:r>
          </w:p>
        </w:tc>
        <w:tc>
          <w:tcPr>
            <w:tcW w:w="1068"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left"/>
              <w:rPr>
                <w:rFonts w:ascii="宋体" w:eastAsia="宋体" w:hAnsi="宋体" w:cs="宋体"/>
                <w:color w:val="222222"/>
                <w:kern w:val="0"/>
                <w:sz w:val="24"/>
                <w:szCs w:val="24"/>
              </w:rPr>
            </w:pPr>
            <w:r w:rsidRPr="00F05B11">
              <w:rPr>
                <w:rFonts w:ascii="宋体" w:eastAsia="宋体" w:hAnsi="宋体" w:cs="宋体" w:hint="eastAsia"/>
                <w:color w:val="333333"/>
                <w:kern w:val="0"/>
                <w:sz w:val="24"/>
                <w:szCs w:val="24"/>
                <w:shd w:val="clear" w:color="auto" w:fill="FFFFFF"/>
              </w:rPr>
              <w:t>稳步推行我区用热商品化、供热社会化，逐步建立符合我区情况的供热新体制；加大技术创新力度，促进节能建筑在我区推广应用，推进供热事业的健康发展，满足全区人民生活水平不断提高的需要。</w:t>
            </w:r>
          </w:p>
        </w:tc>
        <w:tc>
          <w:tcPr>
            <w:tcW w:w="508"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left"/>
              <w:rPr>
                <w:rFonts w:ascii="宋体" w:eastAsia="宋体" w:hAnsi="宋体" w:cs="宋体"/>
                <w:color w:val="222222"/>
                <w:kern w:val="0"/>
                <w:sz w:val="24"/>
                <w:szCs w:val="24"/>
              </w:rPr>
            </w:pPr>
            <w:r w:rsidRPr="00F05B11">
              <w:rPr>
                <w:rFonts w:ascii="Times New Roman" w:eastAsia="宋体" w:hAnsi="Times New Roman" w:cs="Times New Roman"/>
                <w:color w:val="000000"/>
                <w:kern w:val="0"/>
                <w:sz w:val="24"/>
                <w:szCs w:val="24"/>
              </w:rPr>
              <w:t> </w:t>
            </w:r>
          </w:p>
        </w:tc>
        <w:tc>
          <w:tcPr>
            <w:tcW w:w="264"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color w:val="000000"/>
                <w:kern w:val="0"/>
                <w:sz w:val="24"/>
                <w:szCs w:val="24"/>
              </w:rPr>
              <w:t> </w:t>
            </w:r>
          </w:p>
        </w:tc>
        <w:tc>
          <w:tcPr>
            <w:tcW w:w="264"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color w:val="000000"/>
                <w:kern w:val="0"/>
                <w:sz w:val="24"/>
                <w:szCs w:val="24"/>
              </w:rPr>
              <w:t> </w:t>
            </w:r>
          </w:p>
        </w:tc>
        <w:tc>
          <w:tcPr>
            <w:tcW w:w="264"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color w:val="000000"/>
                <w:kern w:val="0"/>
                <w:sz w:val="24"/>
                <w:szCs w:val="24"/>
              </w:rPr>
              <w:t> </w:t>
            </w:r>
          </w:p>
        </w:tc>
        <w:tc>
          <w:tcPr>
            <w:tcW w:w="264"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color w:val="000000"/>
                <w:kern w:val="0"/>
                <w:sz w:val="24"/>
                <w:szCs w:val="24"/>
              </w:rPr>
              <w:t> </w:t>
            </w:r>
          </w:p>
        </w:tc>
      </w:tr>
      <w:tr w:rsidR="00F05B11" w:rsidRPr="00F05B11" w:rsidTr="00F05B11">
        <w:trPr>
          <w:trHeight w:val="227"/>
          <w:jc w:val="center"/>
        </w:trPr>
        <w:tc>
          <w:tcPr>
            <w:tcW w:w="840" w:type="pct"/>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left"/>
              <w:rPr>
                <w:rFonts w:ascii="宋体" w:eastAsia="宋体" w:hAnsi="宋体" w:cs="宋体"/>
                <w:color w:val="222222"/>
                <w:kern w:val="0"/>
                <w:sz w:val="24"/>
                <w:szCs w:val="24"/>
              </w:rPr>
            </w:pPr>
            <w:r w:rsidRPr="00F05B11">
              <w:rPr>
                <w:rFonts w:ascii="Times New Roman" w:eastAsia="宋体" w:hAnsi="Times New Roman" w:cs="Times New Roman"/>
                <w:b/>
                <w:bCs/>
                <w:color w:val="000000"/>
                <w:kern w:val="0"/>
                <w:sz w:val="24"/>
                <w:szCs w:val="24"/>
              </w:rPr>
              <w:t xml:space="preserve">　　绿化经费</w:t>
            </w:r>
          </w:p>
        </w:tc>
        <w:tc>
          <w:tcPr>
            <w:tcW w:w="458"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left"/>
              <w:rPr>
                <w:rFonts w:ascii="宋体" w:eastAsia="宋体" w:hAnsi="宋体" w:cs="宋体"/>
                <w:color w:val="222222"/>
                <w:kern w:val="0"/>
                <w:sz w:val="24"/>
                <w:szCs w:val="24"/>
              </w:rPr>
            </w:pPr>
            <w:r w:rsidRPr="00F05B11">
              <w:rPr>
                <w:rFonts w:ascii="Times New Roman" w:eastAsia="宋体" w:hAnsi="Times New Roman" w:cs="Times New Roman"/>
                <w:color w:val="000000"/>
                <w:kern w:val="0"/>
                <w:sz w:val="24"/>
                <w:szCs w:val="24"/>
              </w:rPr>
              <w:t>60</w:t>
            </w:r>
          </w:p>
        </w:tc>
        <w:tc>
          <w:tcPr>
            <w:tcW w:w="1068"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left"/>
              <w:rPr>
                <w:rFonts w:ascii="宋体" w:eastAsia="宋体" w:hAnsi="宋体" w:cs="宋体"/>
                <w:color w:val="222222"/>
                <w:kern w:val="0"/>
                <w:sz w:val="24"/>
                <w:szCs w:val="24"/>
              </w:rPr>
            </w:pPr>
            <w:r w:rsidRPr="00F05B11">
              <w:rPr>
                <w:rFonts w:ascii="Times New Roman" w:eastAsia="宋体" w:hAnsi="Times New Roman" w:cs="Times New Roman"/>
                <w:color w:val="000000"/>
                <w:kern w:val="0"/>
                <w:sz w:val="24"/>
                <w:szCs w:val="24"/>
              </w:rPr>
              <w:t>为建设美丽城区，有效增加绿</w:t>
            </w:r>
            <w:r w:rsidRPr="00F05B11">
              <w:rPr>
                <w:rFonts w:ascii="Times New Roman" w:eastAsia="宋体" w:hAnsi="Times New Roman" w:cs="Times New Roman"/>
                <w:color w:val="000000"/>
                <w:kern w:val="0"/>
                <w:sz w:val="24"/>
                <w:szCs w:val="24"/>
              </w:rPr>
              <w:lastRenderedPageBreak/>
              <w:t>化覆盖面积，起到绿化、美好城区的作用。</w:t>
            </w:r>
          </w:p>
        </w:tc>
        <w:tc>
          <w:tcPr>
            <w:tcW w:w="1068"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left"/>
              <w:rPr>
                <w:rFonts w:ascii="宋体" w:eastAsia="宋体" w:hAnsi="宋体" w:cs="宋体"/>
                <w:color w:val="222222"/>
                <w:kern w:val="0"/>
                <w:sz w:val="24"/>
                <w:szCs w:val="24"/>
              </w:rPr>
            </w:pPr>
            <w:r w:rsidRPr="00F05B11">
              <w:rPr>
                <w:rFonts w:ascii="Times New Roman" w:eastAsia="宋体" w:hAnsi="Times New Roman" w:cs="Times New Roman"/>
                <w:color w:val="000000"/>
                <w:kern w:val="0"/>
                <w:sz w:val="24"/>
                <w:szCs w:val="24"/>
              </w:rPr>
              <w:lastRenderedPageBreak/>
              <w:t>为建设美丽城区，有效增加绿</w:t>
            </w:r>
            <w:r w:rsidRPr="00F05B11">
              <w:rPr>
                <w:rFonts w:ascii="Times New Roman" w:eastAsia="宋体" w:hAnsi="Times New Roman" w:cs="Times New Roman"/>
                <w:color w:val="000000"/>
                <w:kern w:val="0"/>
                <w:sz w:val="24"/>
                <w:szCs w:val="24"/>
              </w:rPr>
              <w:lastRenderedPageBreak/>
              <w:t>化覆盖面积，起到绿化、美好城区的作用。</w:t>
            </w:r>
          </w:p>
        </w:tc>
        <w:tc>
          <w:tcPr>
            <w:tcW w:w="508"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left"/>
              <w:rPr>
                <w:rFonts w:ascii="宋体" w:eastAsia="宋体" w:hAnsi="宋体" w:cs="宋体"/>
                <w:color w:val="222222"/>
                <w:kern w:val="0"/>
                <w:sz w:val="24"/>
                <w:szCs w:val="24"/>
              </w:rPr>
            </w:pPr>
            <w:r w:rsidRPr="00F05B11">
              <w:rPr>
                <w:rFonts w:ascii="Times New Roman" w:eastAsia="宋体" w:hAnsi="Times New Roman" w:cs="Times New Roman"/>
                <w:color w:val="000000"/>
                <w:kern w:val="0"/>
                <w:sz w:val="24"/>
                <w:szCs w:val="24"/>
              </w:rPr>
              <w:lastRenderedPageBreak/>
              <w:t> </w:t>
            </w:r>
          </w:p>
        </w:tc>
        <w:tc>
          <w:tcPr>
            <w:tcW w:w="264"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color w:val="000000"/>
                <w:kern w:val="0"/>
                <w:sz w:val="24"/>
                <w:szCs w:val="24"/>
              </w:rPr>
              <w:t> </w:t>
            </w:r>
          </w:p>
        </w:tc>
        <w:tc>
          <w:tcPr>
            <w:tcW w:w="264"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color w:val="000000"/>
                <w:kern w:val="0"/>
                <w:sz w:val="24"/>
                <w:szCs w:val="24"/>
              </w:rPr>
              <w:t> </w:t>
            </w:r>
          </w:p>
        </w:tc>
        <w:tc>
          <w:tcPr>
            <w:tcW w:w="264"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color w:val="000000"/>
                <w:kern w:val="0"/>
                <w:sz w:val="24"/>
                <w:szCs w:val="24"/>
              </w:rPr>
              <w:t> </w:t>
            </w:r>
          </w:p>
        </w:tc>
        <w:tc>
          <w:tcPr>
            <w:tcW w:w="264" w:type="pct"/>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05B11" w:rsidRPr="00F05B11" w:rsidRDefault="00F05B11" w:rsidP="00F05B11">
            <w:pPr>
              <w:widowControl/>
              <w:spacing w:line="227" w:lineRule="atLeast"/>
              <w:jc w:val="center"/>
              <w:rPr>
                <w:rFonts w:ascii="宋体" w:eastAsia="宋体" w:hAnsi="宋体" w:cs="宋体"/>
                <w:color w:val="222222"/>
                <w:kern w:val="0"/>
                <w:sz w:val="24"/>
                <w:szCs w:val="24"/>
              </w:rPr>
            </w:pPr>
            <w:r w:rsidRPr="00F05B11">
              <w:rPr>
                <w:rFonts w:ascii="Times New Roman" w:eastAsia="宋体" w:hAnsi="Times New Roman" w:cs="Times New Roman"/>
                <w:color w:val="000000"/>
                <w:kern w:val="0"/>
                <w:sz w:val="24"/>
                <w:szCs w:val="24"/>
              </w:rPr>
              <w:t> </w:t>
            </w:r>
          </w:p>
        </w:tc>
      </w:tr>
    </w:tbl>
    <w:p w:rsidR="00F05B11" w:rsidRPr="00F05B11" w:rsidRDefault="00F05B11" w:rsidP="00F05B11">
      <w:pPr>
        <w:widowControl/>
        <w:spacing w:line="580" w:lineRule="atLeast"/>
        <w:ind w:firstLine="64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32"/>
          <w:szCs w:val="32"/>
        </w:rPr>
        <w:lastRenderedPageBreak/>
        <w:t> </w:t>
      </w:r>
    </w:p>
    <w:p w:rsidR="00F05B11" w:rsidRPr="00F05B11" w:rsidRDefault="00F05B11" w:rsidP="00F05B11">
      <w:pPr>
        <w:widowControl/>
        <w:spacing w:line="580" w:lineRule="atLeast"/>
        <w:ind w:firstLine="64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32"/>
          <w:szCs w:val="32"/>
        </w:rPr>
        <w:t>六、政府采购预算情况</w:t>
      </w:r>
    </w:p>
    <w:p w:rsidR="00F05B11" w:rsidRPr="00F05B11" w:rsidRDefault="00F05B11" w:rsidP="00F05B11">
      <w:pPr>
        <w:widowControl/>
        <w:spacing w:line="580" w:lineRule="atLeast"/>
        <w:ind w:firstLine="64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32"/>
          <w:szCs w:val="32"/>
        </w:rPr>
        <w:t>    2017年本单位安排政府采购预算5万元，其中用于办公设备购置5万元。</w:t>
      </w:r>
    </w:p>
    <w:p w:rsidR="00F05B11" w:rsidRPr="00F05B11" w:rsidRDefault="00F05B11" w:rsidP="00F05B11">
      <w:pPr>
        <w:widowControl/>
        <w:spacing w:line="580" w:lineRule="atLeast"/>
        <w:ind w:firstLine="64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32"/>
          <w:szCs w:val="32"/>
        </w:rPr>
        <w:t>七、国有资产信息情况</w:t>
      </w:r>
    </w:p>
    <w:p w:rsidR="00F05B11" w:rsidRPr="00F05B11" w:rsidRDefault="00F05B11" w:rsidP="00F05B11">
      <w:pPr>
        <w:widowControl/>
        <w:spacing w:line="580" w:lineRule="atLeast"/>
        <w:ind w:firstLine="64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32"/>
          <w:szCs w:val="32"/>
        </w:rPr>
        <w:t>由于我区执行集中管理制度，部分预算单位固定资产全部于财政局统一管理。我区自建区以来，总计形成固定资产总额3385.92万元；其中房屋及建筑物1672.30万元；运输设备719.19万元；专用设备243.03万元；通用设备751.39万元。</w:t>
      </w:r>
    </w:p>
    <w:p w:rsidR="00F05B11" w:rsidRPr="00F05B11" w:rsidRDefault="00F05B11" w:rsidP="00F05B11">
      <w:pPr>
        <w:widowControl/>
        <w:spacing w:line="580" w:lineRule="atLeast"/>
        <w:ind w:firstLine="64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32"/>
          <w:szCs w:val="32"/>
        </w:rPr>
        <w:t>八、专业名词解释</w:t>
      </w:r>
    </w:p>
    <w:p w:rsidR="00F05B11" w:rsidRPr="00F05B11" w:rsidRDefault="00F05B11" w:rsidP="00F05B11">
      <w:pPr>
        <w:widowControl/>
        <w:spacing w:line="580" w:lineRule="atLeast"/>
        <w:ind w:firstLine="64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32"/>
          <w:szCs w:val="32"/>
        </w:rPr>
        <w:t>    无专业名词解释。</w:t>
      </w:r>
    </w:p>
    <w:p w:rsidR="00F05B11" w:rsidRPr="00F05B11" w:rsidRDefault="00F05B11" w:rsidP="00F05B11">
      <w:pPr>
        <w:widowControl/>
        <w:spacing w:line="580" w:lineRule="atLeast"/>
        <w:ind w:firstLine="64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32"/>
          <w:szCs w:val="32"/>
        </w:rPr>
        <w:t>九、其他需说明的事项</w:t>
      </w:r>
    </w:p>
    <w:p w:rsidR="00F05B11" w:rsidRPr="00F05B11" w:rsidRDefault="00F05B11" w:rsidP="00F05B11">
      <w:pPr>
        <w:widowControl/>
        <w:spacing w:line="580" w:lineRule="atLeast"/>
        <w:ind w:firstLine="640"/>
        <w:jc w:val="left"/>
        <w:rPr>
          <w:rFonts w:ascii="宋体" w:eastAsia="宋体" w:hAnsi="宋体" w:cs="宋体"/>
          <w:color w:val="222222"/>
          <w:kern w:val="0"/>
          <w:sz w:val="24"/>
          <w:szCs w:val="24"/>
        </w:rPr>
      </w:pPr>
      <w:r w:rsidRPr="00F05B11">
        <w:rPr>
          <w:rFonts w:ascii="宋体" w:eastAsia="宋体" w:hAnsi="宋体" w:cs="宋体" w:hint="eastAsia"/>
          <w:color w:val="000000"/>
          <w:kern w:val="0"/>
          <w:sz w:val="32"/>
          <w:szCs w:val="32"/>
        </w:rPr>
        <w:t>    无其他需说明的事项。</w:t>
      </w:r>
    </w:p>
    <w:p w:rsidR="00CA5FF3" w:rsidRPr="00F05B11" w:rsidRDefault="00CA5FF3"/>
    <w:sectPr w:rsidR="00CA5FF3" w:rsidRPr="00F05B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FF3" w:rsidRDefault="00CA5FF3" w:rsidP="00F05B11">
      <w:r>
        <w:separator/>
      </w:r>
    </w:p>
  </w:endnote>
  <w:endnote w:type="continuationSeparator" w:id="1">
    <w:p w:rsidR="00CA5FF3" w:rsidRDefault="00CA5FF3" w:rsidP="00F05B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FF3" w:rsidRDefault="00CA5FF3" w:rsidP="00F05B11">
      <w:r>
        <w:separator/>
      </w:r>
    </w:p>
  </w:footnote>
  <w:footnote w:type="continuationSeparator" w:id="1">
    <w:p w:rsidR="00CA5FF3" w:rsidRDefault="00CA5FF3" w:rsidP="00F05B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5B11"/>
    <w:rsid w:val="00CA5FF3"/>
    <w:rsid w:val="00F05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05B11"/>
    <w:pPr>
      <w:widowControl/>
      <w:spacing w:before="161" w:after="16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5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5B11"/>
    <w:rPr>
      <w:sz w:val="18"/>
      <w:szCs w:val="18"/>
    </w:rPr>
  </w:style>
  <w:style w:type="paragraph" w:styleId="a4">
    <w:name w:val="footer"/>
    <w:basedOn w:val="a"/>
    <w:link w:val="Char0"/>
    <w:uiPriority w:val="99"/>
    <w:semiHidden/>
    <w:unhideWhenUsed/>
    <w:rsid w:val="00F05B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5B11"/>
    <w:rPr>
      <w:sz w:val="18"/>
      <w:szCs w:val="18"/>
    </w:rPr>
  </w:style>
  <w:style w:type="character" w:customStyle="1" w:styleId="1Char">
    <w:name w:val="标题 1 Char"/>
    <w:basedOn w:val="a0"/>
    <w:link w:val="1"/>
    <w:uiPriority w:val="9"/>
    <w:rsid w:val="00F05B11"/>
    <w:rPr>
      <w:rFonts w:ascii="宋体" w:eastAsia="宋体" w:hAnsi="宋体" w:cs="宋体"/>
      <w:b/>
      <w:bCs/>
      <w:kern w:val="36"/>
      <w:sz w:val="48"/>
      <w:szCs w:val="48"/>
    </w:rPr>
  </w:style>
  <w:style w:type="character" w:customStyle="1" w:styleId="non-box">
    <w:name w:val="non-box"/>
    <w:basedOn w:val="a0"/>
    <w:rsid w:val="00F05B11"/>
  </w:style>
  <w:style w:type="character" w:customStyle="1" w:styleId="dtpostdate1">
    <w:name w:val="dtpostdate1"/>
    <w:basedOn w:val="a0"/>
    <w:rsid w:val="00F05B11"/>
    <w:rPr>
      <w:rFonts w:ascii="宋体" w:eastAsia="宋体" w:hAnsi="宋体" w:hint="eastAsia"/>
      <w:b w:val="0"/>
      <w:bCs w:val="0"/>
      <w:i w:val="0"/>
      <w:iCs w:val="0"/>
      <w:color w:val="555555"/>
      <w:sz w:val="18"/>
      <w:szCs w:val="18"/>
    </w:rPr>
  </w:style>
  <w:style w:type="character" w:customStyle="1" w:styleId="views1">
    <w:name w:val="views1"/>
    <w:basedOn w:val="a0"/>
    <w:rsid w:val="00F05B11"/>
    <w:rPr>
      <w:rFonts w:ascii="宋体" w:eastAsia="宋体" w:hAnsi="宋体" w:hint="eastAsia"/>
      <w:b w:val="0"/>
      <w:bCs w:val="0"/>
      <w:i w:val="0"/>
      <w:iCs w:val="0"/>
      <w:color w:val="555555"/>
      <w:sz w:val="18"/>
      <w:szCs w:val="18"/>
    </w:rPr>
  </w:style>
  <w:style w:type="character" w:customStyle="1" w:styleId="return1">
    <w:name w:val="return1"/>
    <w:basedOn w:val="a0"/>
    <w:rsid w:val="00F05B11"/>
    <w:rPr>
      <w:rFonts w:ascii="宋体" w:eastAsia="宋体" w:hAnsi="宋体" w:hint="eastAsia"/>
      <w:b w:val="0"/>
      <w:bCs w:val="0"/>
      <w:i w:val="0"/>
      <w:iCs w:val="0"/>
      <w:color w:val="004378"/>
      <w:sz w:val="18"/>
      <w:szCs w:val="18"/>
    </w:rPr>
  </w:style>
  <w:style w:type="paragraph" w:styleId="a5">
    <w:name w:val="Normal (Web)"/>
    <w:basedOn w:val="a"/>
    <w:uiPriority w:val="99"/>
    <w:unhideWhenUsed/>
    <w:rsid w:val="00F05B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75070834">
      <w:bodyDiv w:val="1"/>
      <w:marLeft w:val="0"/>
      <w:marRight w:val="0"/>
      <w:marTop w:val="0"/>
      <w:marBottom w:val="0"/>
      <w:divBdr>
        <w:top w:val="none" w:sz="0" w:space="0" w:color="auto"/>
        <w:left w:val="none" w:sz="0" w:space="0" w:color="auto"/>
        <w:bottom w:val="none" w:sz="0" w:space="0" w:color="auto"/>
        <w:right w:val="none" w:sz="0" w:space="0" w:color="auto"/>
      </w:divBdr>
    </w:div>
    <w:div w:id="13570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362</Words>
  <Characters>2065</Characters>
  <Application>Microsoft Office Word</Application>
  <DocSecurity>0</DocSecurity>
  <Lines>17</Lines>
  <Paragraphs>4</Paragraphs>
  <ScaleCrop>false</ScaleCrop>
  <Company>Microsoft</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2019-05-29T00:36:00Z</dcterms:created>
  <dcterms:modified xsi:type="dcterms:W3CDTF">2019-05-29T00:37:00Z</dcterms:modified>
</cp:coreProperties>
</file>