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79" w:rsidRPr="005B6D79" w:rsidRDefault="005B6D79" w:rsidP="005B6D79">
      <w:pPr>
        <w:widowControl/>
        <w:spacing w:before="161" w:after="161"/>
        <w:jc w:val="center"/>
        <w:outlineLvl w:val="0"/>
        <w:rPr>
          <w:rFonts w:ascii="宋体" w:eastAsia="宋体" w:hAnsi="宋体" w:cs="宋体"/>
          <w:b/>
          <w:bCs/>
          <w:color w:val="333333"/>
          <w:kern w:val="36"/>
          <w:sz w:val="30"/>
          <w:szCs w:val="30"/>
        </w:rPr>
      </w:pPr>
      <w:r w:rsidRPr="005B6D79">
        <w:rPr>
          <w:rFonts w:ascii="宋体" w:eastAsia="宋体" w:hAnsi="宋体" w:cs="宋体" w:hint="eastAsia"/>
          <w:b/>
          <w:bCs/>
          <w:color w:val="333333"/>
          <w:kern w:val="36"/>
          <w:sz w:val="30"/>
          <w:szCs w:val="30"/>
        </w:rPr>
        <w:t>审计局2017年预算情况</w:t>
      </w:r>
    </w:p>
    <w:p w:rsidR="005B6D79" w:rsidRPr="005B6D79" w:rsidRDefault="005B6D79" w:rsidP="005B6D79">
      <w:pPr>
        <w:widowControl/>
        <w:ind w:firstLine="600"/>
        <w:jc w:val="left"/>
        <w:rPr>
          <w:rFonts w:ascii="宋体" w:eastAsia="宋体" w:hAnsi="宋体" w:cs="宋体"/>
          <w:kern w:val="0"/>
          <w:sz w:val="24"/>
          <w:szCs w:val="24"/>
        </w:rPr>
      </w:pPr>
      <w:r w:rsidRPr="005B6D79">
        <w:rPr>
          <w:rFonts w:ascii="宋体" w:eastAsia="宋体" w:hAnsi="宋体" w:cs="宋体" w:hint="eastAsia"/>
          <w:color w:val="000000"/>
          <w:kern w:val="0"/>
          <w:sz w:val="28"/>
          <w:szCs w:val="28"/>
        </w:rPr>
        <w:t>一、部门职责、机构设置等基本情况</w:t>
      </w:r>
    </w:p>
    <w:p w:rsidR="005B6D79" w:rsidRPr="005B6D79" w:rsidRDefault="005B6D79" w:rsidP="005B6D79">
      <w:pPr>
        <w:widowControl/>
        <w:ind w:firstLine="56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 xml:space="preserve">1、审计部门职责： </w:t>
      </w:r>
    </w:p>
    <w:p w:rsidR="005B6D79" w:rsidRPr="005B6D79" w:rsidRDefault="005B6D79" w:rsidP="005B6D79">
      <w:pPr>
        <w:widowControl/>
        <w:spacing w:line="360" w:lineRule="auto"/>
        <w:ind w:firstLine="280"/>
        <w:jc w:val="left"/>
        <w:textAlignment w:val="baseline"/>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（一）负责对本级各部门（含直属单位）和下级政府预算的执行情况和决算以及其他财政财务收支情况，进行审计监督。</w:t>
      </w:r>
    </w:p>
    <w:p w:rsidR="005B6D79" w:rsidRPr="005B6D79" w:rsidRDefault="005B6D79" w:rsidP="005B6D79">
      <w:pPr>
        <w:widowControl/>
        <w:spacing w:line="360" w:lineRule="auto"/>
        <w:ind w:firstLine="280"/>
        <w:jc w:val="left"/>
        <w:textAlignment w:val="baseline"/>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（二）负责对区党政机关科局级领导干部和国有及国有控股企业厂长（经理）任期、离任经济责任进行审计监督。</w:t>
      </w:r>
    </w:p>
    <w:p w:rsidR="005B6D79" w:rsidRPr="005B6D79" w:rsidRDefault="005B6D79" w:rsidP="005B6D79">
      <w:pPr>
        <w:widowControl/>
        <w:spacing w:line="360" w:lineRule="auto"/>
        <w:ind w:firstLine="280"/>
        <w:jc w:val="left"/>
        <w:textAlignment w:val="baseline"/>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（三）负责区事业单位及国有企业财政财务收支进行审计监督。</w:t>
      </w:r>
    </w:p>
    <w:p w:rsidR="005B6D79" w:rsidRPr="005B6D79" w:rsidRDefault="005B6D79" w:rsidP="005B6D79">
      <w:pPr>
        <w:widowControl/>
        <w:spacing w:line="360" w:lineRule="auto"/>
        <w:ind w:firstLine="280"/>
        <w:jc w:val="left"/>
        <w:textAlignment w:val="baseline"/>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（四）负责对政府部门管理的和社会团体受政府委托管理的社会保障资金、政府部门管理资金以及其他有关基金、专项资金的财务收支进行审计监督。</w:t>
      </w:r>
    </w:p>
    <w:p w:rsidR="005B6D79" w:rsidRPr="005B6D79" w:rsidRDefault="005B6D79" w:rsidP="005B6D79">
      <w:pPr>
        <w:widowControl/>
        <w:spacing w:line="360" w:lineRule="auto"/>
        <w:ind w:firstLine="280"/>
        <w:jc w:val="left"/>
        <w:textAlignment w:val="baseline"/>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（五）对于国家财政收支有关的特定事项，向有关地方、部门、单位进行专项审计调查，并向本级人民政府和上一级审计机关报告审计调查结果。</w:t>
      </w:r>
    </w:p>
    <w:p w:rsidR="005B6D79" w:rsidRPr="005B6D79" w:rsidRDefault="005B6D79" w:rsidP="005B6D79">
      <w:pPr>
        <w:widowControl/>
        <w:spacing w:line="360" w:lineRule="auto"/>
        <w:ind w:firstLine="280"/>
        <w:jc w:val="left"/>
        <w:textAlignment w:val="baseline"/>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（六）负责对全区行政事业性收费、罚没收入的收缴及遵守“收支两条线”管理情况的审计监督。</w:t>
      </w:r>
    </w:p>
    <w:p w:rsidR="005B6D79" w:rsidRPr="005B6D79" w:rsidRDefault="005B6D79" w:rsidP="005B6D79">
      <w:pPr>
        <w:widowControl/>
        <w:spacing w:line="360" w:lineRule="auto"/>
        <w:ind w:firstLine="280"/>
        <w:jc w:val="left"/>
        <w:textAlignment w:val="baseline"/>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（七）负责对区政府投资及使用国有资金投资的基本建设项目和技术改造项目进行审计监督。</w:t>
      </w:r>
    </w:p>
    <w:p w:rsidR="005B6D79" w:rsidRPr="005B6D79" w:rsidRDefault="005B6D79" w:rsidP="005B6D79">
      <w:pPr>
        <w:widowControl/>
        <w:spacing w:line="360" w:lineRule="auto"/>
        <w:ind w:firstLine="280"/>
        <w:jc w:val="left"/>
        <w:textAlignment w:val="baseline"/>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（八）对国有企业的资产、负债及权益进行审计监督。</w:t>
      </w:r>
    </w:p>
    <w:p w:rsidR="005B6D79" w:rsidRPr="005B6D79" w:rsidRDefault="005B6D79" w:rsidP="005B6D79">
      <w:pPr>
        <w:widowControl/>
        <w:spacing w:line="360" w:lineRule="auto"/>
        <w:ind w:firstLine="280"/>
        <w:jc w:val="left"/>
        <w:textAlignment w:val="baseline"/>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（九）对区国有企业年度经济效益情况进行审计监督。</w:t>
      </w:r>
    </w:p>
    <w:p w:rsidR="005B6D79" w:rsidRPr="005B6D79" w:rsidRDefault="005B6D79" w:rsidP="005B6D79">
      <w:pPr>
        <w:widowControl/>
        <w:spacing w:line="360" w:lineRule="auto"/>
        <w:ind w:firstLine="560"/>
        <w:jc w:val="left"/>
        <w:textAlignment w:val="baseline"/>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物价工作职责：</w:t>
      </w:r>
    </w:p>
    <w:p w:rsidR="005B6D79" w:rsidRPr="005B6D79" w:rsidRDefault="005B6D79" w:rsidP="005B6D79">
      <w:pPr>
        <w:widowControl/>
        <w:spacing w:line="360" w:lineRule="auto"/>
        <w:ind w:firstLine="420"/>
        <w:jc w:val="left"/>
        <w:textAlignment w:val="baseline"/>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lastRenderedPageBreak/>
        <w:t>（一）贯彻执行国家的价格方针、政策、法律和法规；负责上级物价部门下达的价格改革和价格调整方案在全区的实施。</w:t>
      </w:r>
    </w:p>
    <w:p w:rsidR="005B6D79" w:rsidRPr="005B6D79" w:rsidRDefault="005B6D79" w:rsidP="005B6D79">
      <w:pPr>
        <w:widowControl/>
        <w:spacing w:line="360" w:lineRule="auto"/>
        <w:ind w:firstLine="420"/>
        <w:jc w:val="left"/>
        <w:textAlignment w:val="baseline"/>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（二）负责在全区范围内对价格分工审批权限内的商品价格、经营服务性价格进行管理，规范作价原则、作价办法。</w:t>
      </w:r>
    </w:p>
    <w:p w:rsidR="005B6D79" w:rsidRPr="005B6D79" w:rsidRDefault="005B6D79" w:rsidP="005B6D79">
      <w:pPr>
        <w:widowControl/>
        <w:spacing w:line="360" w:lineRule="auto"/>
        <w:ind w:firstLine="420"/>
        <w:jc w:val="left"/>
        <w:textAlignment w:val="baseline"/>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（三）负责对全区行政、事业性收费实施管理，在规定的职权范围内制定、调整收费标准；监督收费执行情况；通过清费减负和收费公示等工作，切实减轻企业和群众负担。</w:t>
      </w:r>
    </w:p>
    <w:p w:rsidR="005B6D79" w:rsidRPr="005B6D79" w:rsidRDefault="005B6D79" w:rsidP="005B6D79">
      <w:pPr>
        <w:widowControl/>
        <w:spacing w:line="360" w:lineRule="auto"/>
        <w:ind w:firstLine="280"/>
        <w:jc w:val="left"/>
        <w:textAlignment w:val="baseline"/>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（四）组织开展全区物价监督检查工作，依法查处各类价格违法行为和案件，组织实施商品和服务明码标价制度，受理价格举报，开展价格信用体系建设工作。</w:t>
      </w:r>
    </w:p>
    <w:p w:rsidR="005B6D79" w:rsidRPr="005B6D79" w:rsidRDefault="005B6D79" w:rsidP="005B6D79">
      <w:pPr>
        <w:widowControl/>
        <w:spacing w:line="360" w:lineRule="auto"/>
        <w:ind w:firstLine="420"/>
        <w:jc w:val="left"/>
        <w:textAlignment w:val="baseline"/>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（五）负责全区涉案资产价格认证工作。</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2、机构设置：唐山芦台经济开发区审计物价局下设审计局和物价局两个局；其中：审计局5人，下设审计科；物价局3人，下设物价科，价格鉴定科；另外还设有综合办公室、财务室。</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二、部门预算安排总体情况  </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shd w:val="clear" w:color="auto" w:fill="FFFFFF"/>
        </w:rPr>
        <w:t> 1、收入情况：审计物价局2017年部门预算收入总额98.27万元，其中，财政拨款收入98.27万元，全部为一般公共预算收入。</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shd w:val="clear" w:color="auto" w:fill="FFFFFF"/>
        </w:rPr>
        <w:t> 2、支出情况：审计物价局2017年部门预算支出总额98.27万元，包括人员经费85.3万元，公用经费6.47万元，其中：行政运行73.11万元，社会保障和就业支出6.25万元、医疗卫生与计划生育支出6.71万元、住房保障支出5.7万元，专项经费支出6.5万元。</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shd w:val="clear" w:color="auto" w:fill="FFFFFF"/>
        </w:rPr>
        <w:lastRenderedPageBreak/>
        <w:t>3、比上年增减情况：2017年部门预算较2016年增长2.12万元，其中：基本支出增加1.62万元，主要是增加人员经费1.01万元，公用经费0.61万元，增加原因是由于2017年人员工资比2016年人员工资增长；专项经费支出增长0.5万元。</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三、机关运行经费安排情况</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shd w:val="clear" w:color="auto" w:fill="FFFFFF"/>
        </w:rPr>
        <w:t>2017年审计物价局共安排机关运行经费6.47万元，主要包括以下项目：</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shd w:val="clear" w:color="auto" w:fill="FFFFFF"/>
        </w:rPr>
        <w:t>1、日常公用经费4.96万元，其中：取暖费0.61万元、培训费0.71万元、会议费0.14万元、公务接待费0.04万元、其它商品服务支出1.67万元、办公费0.65万元、电费0.29万元、邮电费0.36万元、差旅费0.47万元、水费0.02万元。</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shd w:val="clear" w:color="auto" w:fill="FFFFFF"/>
        </w:rPr>
        <w:t>2、工会经费0.95万元。</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shd w:val="clear" w:color="auto" w:fill="FFFFFF"/>
        </w:rPr>
        <w:t>3、福利费0.56万元。</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四、财政拨款“三公”经费预算情况</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2017年区财政局安排“三公”经费1.39万元，其中2017年因公出国费0万元，较2016年0万元，与上年持平；2017年公务接待费0.04万元，较2016年度预算0.06万元，减少0.02万元，原因是压缩公务接待支出；2017年公务用车购置及运行费1.35万元（公务用车运行费1.35万元、公务用车购置费0万元），较2016年公务用车购置及运行费1.35万元（公务用车运行费1.35万元、公务用车购置费0万元），与上年持平。</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五、绩效预算信息情况</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lastRenderedPageBreak/>
        <w:t>我局2017年基建审计专项经费预算6万元整，用于开发区行政事业单位基建维修工程的预算、决算审计，预计100项。</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六、政府采购预算情况</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  无政府采购预算情况。</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七、国有资产信息情况</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由于我区执行集中管理制度，固定资产全部于财政局统一管理。</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八、专业名词解释</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  无专业名词解释。</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九、其他需说明的事项</w:t>
      </w:r>
    </w:p>
    <w:p w:rsidR="005B6D79" w:rsidRPr="005B6D79" w:rsidRDefault="005B6D79" w:rsidP="005B6D79">
      <w:pPr>
        <w:widowControl/>
        <w:ind w:firstLine="600"/>
        <w:jc w:val="left"/>
        <w:rPr>
          <w:rFonts w:ascii="宋体" w:eastAsia="宋体" w:hAnsi="宋体" w:cs="宋体"/>
          <w:color w:val="222222"/>
          <w:kern w:val="0"/>
          <w:sz w:val="24"/>
          <w:szCs w:val="24"/>
        </w:rPr>
      </w:pPr>
      <w:r w:rsidRPr="005B6D79">
        <w:rPr>
          <w:rFonts w:ascii="宋体" w:eastAsia="宋体" w:hAnsi="宋体" w:cs="宋体" w:hint="eastAsia"/>
          <w:color w:val="000000"/>
          <w:kern w:val="0"/>
          <w:sz w:val="28"/>
          <w:szCs w:val="28"/>
        </w:rPr>
        <w:t>  无其他需说明的事项。</w:t>
      </w:r>
    </w:p>
    <w:p w:rsidR="00F71E9F" w:rsidRPr="005B6D79" w:rsidRDefault="00F71E9F"/>
    <w:sectPr w:rsidR="00F71E9F" w:rsidRPr="005B6D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E9F" w:rsidRDefault="00F71E9F" w:rsidP="005B6D79">
      <w:r>
        <w:separator/>
      </w:r>
    </w:p>
  </w:endnote>
  <w:endnote w:type="continuationSeparator" w:id="1">
    <w:p w:rsidR="00F71E9F" w:rsidRDefault="00F71E9F" w:rsidP="005B6D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E9F" w:rsidRDefault="00F71E9F" w:rsidP="005B6D79">
      <w:r>
        <w:separator/>
      </w:r>
    </w:p>
  </w:footnote>
  <w:footnote w:type="continuationSeparator" w:id="1">
    <w:p w:rsidR="00F71E9F" w:rsidRDefault="00F71E9F" w:rsidP="005B6D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6D79"/>
    <w:rsid w:val="005B6D79"/>
    <w:rsid w:val="00F71E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B6D79"/>
    <w:pPr>
      <w:widowControl/>
      <w:spacing w:before="161" w:after="16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6D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6D79"/>
    <w:rPr>
      <w:sz w:val="18"/>
      <w:szCs w:val="18"/>
    </w:rPr>
  </w:style>
  <w:style w:type="paragraph" w:styleId="a4">
    <w:name w:val="footer"/>
    <w:basedOn w:val="a"/>
    <w:link w:val="Char0"/>
    <w:uiPriority w:val="99"/>
    <w:semiHidden/>
    <w:unhideWhenUsed/>
    <w:rsid w:val="005B6D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6D79"/>
    <w:rPr>
      <w:sz w:val="18"/>
      <w:szCs w:val="18"/>
    </w:rPr>
  </w:style>
  <w:style w:type="character" w:customStyle="1" w:styleId="1Char">
    <w:name w:val="标题 1 Char"/>
    <w:basedOn w:val="a0"/>
    <w:link w:val="1"/>
    <w:uiPriority w:val="9"/>
    <w:rsid w:val="005B6D79"/>
    <w:rPr>
      <w:rFonts w:ascii="宋体" w:eastAsia="宋体" w:hAnsi="宋体" w:cs="宋体"/>
      <w:b/>
      <w:bCs/>
      <w:kern w:val="36"/>
      <w:sz w:val="48"/>
      <w:szCs w:val="48"/>
    </w:rPr>
  </w:style>
  <w:style w:type="character" w:customStyle="1" w:styleId="non-box">
    <w:name w:val="non-box"/>
    <w:basedOn w:val="a0"/>
    <w:rsid w:val="005B6D79"/>
  </w:style>
  <w:style w:type="character" w:customStyle="1" w:styleId="dtpostdate1">
    <w:name w:val="dtpostdate1"/>
    <w:basedOn w:val="a0"/>
    <w:rsid w:val="005B6D79"/>
    <w:rPr>
      <w:rFonts w:ascii="宋体" w:eastAsia="宋体" w:hAnsi="宋体" w:hint="eastAsia"/>
      <w:b w:val="0"/>
      <w:bCs w:val="0"/>
      <w:i w:val="0"/>
      <w:iCs w:val="0"/>
      <w:color w:val="555555"/>
      <w:sz w:val="18"/>
      <w:szCs w:val="18"/>
    </w:rPr>
  </w:style>
  <w:style w:type="character" w:customStyle="1" w:styleId="views1">
    <w:name w:val="views1"/>
    <w:basedOn w:val="a0"/>
    <w:rsid w:val="005B6D79"/>
    <w:rPr>
      <w:rFonts w:ascii="宋体" w:eastAsia="宋体" w:hAnsi="宋体" w:hint="eastAsia"/>
      <w:b w:val="0"/>
      <w:bCs w:val="0"/>
      <w:i w:val="0"/>
      <w:iCs w:val="0"/>
      <w:color w:val="555555"/>
      <w:sz w:val="18"/>
      <w:szCs w:val="18"/>
    </w:rPr>
  </w:style>
  <w:style w:type="character" w:customStyle="1" w:styleId="return1">
    <w:name w:val="return1"/>
    <w:basedOn w:val="a0"/>
    <w:rsid w:val="005B6D79"/>
    <w:rPr>
      <w:rFonts w:ascii="宋体" w:eastAsia="宋体" w:hAnsi="宋体" w:hint="eastAsia"/>
      <w:b w:val="0"/>
      <w:bCs w:val="0"/>
      <w:i w:val="0"/>
      <w:iCs w:val="0"/>
      <w:color w:val="004378"/>
      <w:sz w:val="18"/>
      <w:szCs w:val="18"/>
    </w:rPr>
  </w:style>
  <w:style w:type="paragraph" w:styleId="a5">
    <w:name w:val="Normal (Web)"/>
    <w:basedOn w:val="a"/>
    <w:uiPriority w:val="99"/>
    <w:semiHidden/>
    <w:unhideWhenUsed/>
    <w:rsid w:val="005B6D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6102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260</Words>
  <Characters>1486</Characters>
  <Application>Microsoft Office Word</Application>
  <DocSecurity>0</DocSecurity>
  <Lines>12</Lines>
  <Paragraphs>3</Paragraphs>
  <ScaleCrop>false</ScaleCrop>
  <Company>Microsoft</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2019-05-29T03:23:00Z</dcterms:created>
  <dcterms:modified xsi:type="dcterms:W3CDTF">2019-05-29T03:24:00Z</dcterms:modified>
</cp:coreProperties>
</file>