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lang w:eastAsia="zh-CN"/>
        </w:rP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315唐山市司法局芦台经济开发区分局</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68.83</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r>
              <w:t>56.10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68.83</w:t>
            </w:r>
          </w:p>
        </w:tc>
        <w:tc>
          <w:tcPr>
            <w:tcW w:w="4535" w:type="dxa"/>
            <w:vAlign w:val="center"/>
          </w:tcPr>
          <w:p>
            <w:pPr>
              <w:pStyle w:val="17"/>
            </w:pPr>
            <w:r>
              <w:t>本年支出合计</w:t>
            </w:r>
          </w:p>
        </w:tc>
        <w:tc>
          <w:tcPr>
            <w:tcW w:w="2126" w:type="dxa"/>
            <w:vAlign w:val="center"/>
          </w:tcPr>
          <w:p>
            <w:pPr>
              <w:pStyle w:val="18"/>
            </w:pPr>
            <w:r>
              <w:t>68.83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68.83</w:t>
            </w:r>
          </w:p>
        </w:tc>
        <w:tc>
          <w:tcPr>
            <w:tcW w:w="4535" w:type="dxa"/>
            <w:vAlign w:val="center"/>
          </w:tcPr>
          <w:p>
            <w:pPr>
              <w:pStyle w:val="17"/>
            </w:pPr>
            <w:r>
              <w:t>支出总计</w:t>
            </w:r>
          </w:p>
        </w:tc>
        <w:tc>
          <w:tcPr>
            <w:tcW w:w="2126" w:type="dxa"/>
            <w:vAlign w:val="center"/>
          </w:tcPr>
          <w:p>
            <w:pPr>
              <w:pStyle w:val="18"/>
            </w:pPr>
            <w:r>
              <w:t>68.83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315唐山市司法局芦台经济开发区分局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68.83</w:t>
            </w:r>
          </w:p>
        </w:tc>
        <w:tc>
          <w:tcPr>
            <w:tcW w:w="1134" w:type="dxa"/>
            <w:vAlign w:val="center"/>
          </w:tcPr>
          <w:p>
            <w:pPr>
              <w:pStyle w:val="18"/>
            </w:pPr>
            <w:r>
              <w:t>68.83</w:t>
            </w:r>
          </w:p>
        </w:tc>
        <w:tc>
          <w:tcPr>
            <w:tcW w:w="1134" w:type="dxa"/>
            <w:vAlign w:val="center"/>
          </w:tcPr>
          <w:p>
            <w:pPr>
              <w:pStyle w:val="18"/>
            </w:pPr>
            <w:r>
              <w:t>68.83</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204</w:t>
            </w:r>
          </w:p>
        </w:tc>
        <w:tc>
          <w:tcPr>
            <w:tcW w:w="1559" w:type="dxa"/>
            <w:vAlign w:val="center"/>
          </w:tcPr>
          <w:p>
            <w:pPr>
              <w:pStyle w:val="15"/>
            </w:pPr>
            <w:r>
              <w:t>公共安全支出</w:t>
            </w:r>
          </w:p>
        </w:tc>
        <w:tc>
          <w:tcPr>
            <w:tcW w:w="1134" w:type="dxa"/>
            <w:vAlign w:val="center"/>
          </w:tcPr>
          <w:p>
            <w:pPr>
              <w:pStyle w:val="14"/>
            </w:pPr>
            <w:r>
              <w:t>56.10</w:t>
            </w:r>
          </w:p>
        </w:tc>
        <w:tc>
          <w:tcPr>
            <w:tcW w:w="1134" w:type="dxa"/>
            <w:vAlign w:val="center"/>
          </w:tcPr>
          <w:p>
            <w:pPr>
              <w:pStyle w:val="14"/>
            </w:pPr>
            <w:r>
              <w:t>56.10</w:t>
            </w:r>
          </w:p>
        </w:tc>
        <w:tc>
          <w:tcPr>
            <w:tcW w:w="1134" w:type="dxa"/>
            <w:vAlign w:val="center"/>
          </w:tcPr>
          <w:p>
            <w:pPr>
              <w:pStyle w:val="14"/>
            </w:pPr>
            <w:r>
              <w:t>56.10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20406</w:t>
            </w:r>
          </w:p>
        </w:tc>
        <w:tc>
          <w:tcPr>
            <w:tcW w:w="1559" w:type="dxa"/>
            <w:vAlign w:val="center"/>
          </w:tcPr>
          <w:p>
            <w:pPr>
              <w:pStyle w:val="15"/>
            </w:pPr>
            <w:r>
              <w:t>司法</w:t>
            </w:r>
          </w:p>
        </w:tc>
        <w:tc>
          <w:tcPr>
            <w:tcW w:w="1134" w:type="dxa"/>
            <w:vAlign w:val="center"/>
          </w:tcPr>
          <w:p>
            <w:pPr>
              <w:pStyle w:val="14"/>
            </w:pPr>
            <w:r>
              <w:t>56.10</w:t>
            </w:r>
          </w:p>
        </w:tc>
        <w:tc>
          <w:tcPr>
            <w:tcW w:w="1134" w:type="dxa"/>
            <w:vAlign w:val="center"/>
          </w:tcPr>
          <w:p>
            <w:pPr>
              <w:pStyle w:val="14"/>
            </w:pPr>
            <w:r>
              <w:t>56.10</w:t>
            </w:r>
          </w:p>
        </w:tc>
        <w:tc>
          <w:tcPr>
            <w:tcW w:w="1134" w:type="dxa"/>
            <w:vAlign w:val="center"/>
          </w:tcPr>
          <w:p>
            <w:pPr>
              <w:pStyle w:val="14"/>
            </w:pPr>
            <w:r>
              <w:t>56.10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2040601</w:t>
            </w:r>
          </w:p>
        </w:tc>
        <w:tc>
          <w:tcPr>
            <w:tcW w:w="1559" w:type="dxa"/>
            <w:vAlign w:val="center"/>
          </w:tcPr>
          <w:p>
            <w:pPr>
              <w:pStyle w:val="15"/>
            </w:pPr>
            <w:r>
              <w:t>行政运行</w:t>
            </w:r>
          </w:p>
        </w:tc>
        <w:tc>
          <w:tcPr>
            <w:tcW w:w="1134" w:type="dxa"/>
            <w:vAlign w:val="center"/>
          </w:tcPr>
          <w:p>
            <w:pPr>
              <w:pStyle w:val="14"/>
            </w:pPr>
            <w:r>
              <w:t>50.90</w:t>
            </w:r>
          </w:p>
        </w:tc>
        <w:tc>
          <w:tcPr>
            <w:tcW w:w="1134" w:type="dxa"/>
            <w:vAlign w:val="center"/>
          </w:tcPr>
          <w:p>
            <w:pPr>
              <w:pStyle w:val="14"/>
            </w:pPr>
            <w:r>
              <w:t>50.90</w:t>
            </w:r>
          </w:p>
        </w:tc>
        <w:tc>
          <w:tcPr>
            <w:tcW w:w="1134" w:type="dxa"/>
            <w:vAlign w:val="center"/>
          </w:tcPr>
          <w:p>
            <w:pPr>
              <w:pStyle w:val="14"/>
            </w:pPr>
            <w:r>
              <w:t>50.90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2040604</w:t>
            </w:r>
          </w:p>
        </w:tc>
        <w:tc>
          <w:tcPr>
            <w:tcW w:w="1559" w:type="dxa"/>
            <w:vAlign w:val="center"/>
          </w:tcPr>
          <w:p>
            <w:pPr>
              <w:pStyle w:val="15"/>
            </w:pPr>
            <w:r>
              <w:t>基层司法业务</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r>
              <w:t>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2040699</w:t>
            </w:r>
          </w:p>
        </w:tc>
        <w:tc>
          <w:tcPr>
            <w:tcW w:w="1559" w:type="dxa"/>
            <w:vAlign w:val="center"/>
          </w:tcPr>
          <w:p>
            <w:pPr>
              <w:pStyle w:val="15"/>
            </w:pPr>
            <w:r>
              <w:t>其他司法支出</w:t>
            </w:r>
          </w:p>
        </w:tc>
        <w:tc>
          <w:tcPr>
            <w:tcW w:w="1134" w:type="dxa"/>
            <w:vAlign w:val="center"/>
          </w:tcPr>
          <w:p>
            <w:pPr>
              <w:pStyle w:val="14"/>
            </w:pPr>
            <w:r>
              <w:t>4.20</w:t>
            </w:r>
          </w:p>
        </w:tc>
        <w:tc>
          <w:tcPr>
            <w:tcW w:w="1134" w:type="dxa"/>
            <w:vAlign w:val="center"/>
          </w:tcPr>
          <w:p>
            <w:pPr>
              <w:pStyle w:val="14"/>
            </w:pPr>
            <w:r>
              <w:t>4.20</w:t>
            </w:r>
          </w:p>
        </w:tc>
        <w:tc>
          <w:tcPr>
            <w:tcW w:w="1134" w:type="dxa"/>
            <w:vAlign w:val="center"/>
          </w:tcPr>
          <w:p>
            <w:pPr>
              <w:pStyle w:val="14"/>
            </w:pPr>
            <w:r>
              <w:t>4.20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2080599</w:t>
            </w:r>
          </w:p>
        </w:tc>
        <w:tc>
          <w:tcPr>
            <w:tcW w:w="1559" w:type="dxa"/>
            <w:vAlign w:val="center"/>
          </w:tcPr>
          <w:p>
            <w:pPr>
              <w:pStyle w:val="15"/>
            </w:pPr>
            <w:r>
              <w:t>其他行政事业单位养老支出</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r>
              <w:t>2.88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4.10</w:t>
            </w:r>
          </w:p>
        </w:tc>
        <w:tc>
          <w:tcPr>
            <w:tcW w:w="1134" w:type="dxa"/>
            <w:vAlign w:val="center"/>
          </w:tcPr>
          <w:p>
            <w:pPr>
              <w:pStyle w:val="14"/>
            </w:pPr>
            <w:r>
              <w:t>4.10</w:t>
            </w:r>
          </w:p>
        </w:tc>
        <w:tc>
          <w:tcPr>
            <w:tcW w:w="1134" w:type="dxa"/>
            <w:vAlign w:val="center"/>
          </w:tcPr>
          <w:p>
            <w:pPr>
              <w:pStyle w:val="14"/>
            </w:pPr>
            <w:r>
              <w:t>4.10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4.10</w:t>
            </w:r>
          </w:p>
        </w:tc>
        <w:tc>
          <w:tcPr>
            <w:tcW w:w="1134" w:type="dxa"/>
            <w:vAlign w:val="center"/>
          </w:tcPr>
          <w:p>
            <w:pPr>
              <w:pStyle w:val="14"/>
            </w:pPr>
            <w:r>
              <w:t>4.10</w:t>
            </w:r>
          </w:p>
        </w:tc>
        <w:tc>
          <w:tcPr>
            <w:tcW w:w="1134" w:type="dxa"/>
            <w:vAlign w:val="center"/>
          </w:tcPr>
          <w:p>
            <w:pPr>
              <w:pStyle w:val="14"/>
            </w:pPr>
            <w:r>
              <w:t>4.10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1.52</w:t>
            </w:r>
          </w:p>
        </w:tc>
        <w:tc>
          <w:tcPr>
            <w:tcW w:w="1134" w:type="dxa"/>
            <w:vAlign w:val="center"/>
          </w:tcPr>
          <w:p>
            <w:pPr>
              <w:pStyle w:val="14"/>
            </w:pPr>
            <w:r>
              <w:t>1.52</w:t>
            </w:r>
          </w:p>
        </w:tc>
        <w:tc>
          <w:tcPr>
            <w:tcW w:w="1134" w:type="dxa"/>
            <w:vAlign w:val="center"/>
          </w:tcPr>
          <w:p>
            <w:pPr>
              <w:pStyle w:val="14"/>
            </w:pPr>
            <w:r>
              <w:t>1.52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2.58</w:t>
            </w:r>
          </w:p>
        </w:tc>
        <w:tc>
          <w:tcPr>
            <w:tcW w:w="1134" w:type="dxa"/>
            <w:vAlign w:val="center"/>
          </w:tcPr>
          <w:p>
            <w:pPr>
              <w:pStyle w:val="14"/>
            </w:pPr>
            <w:r>
              <w:t>2.58</w:t>
            </w:r>
          </w:p>
        </w:tc>
        <w:tc>
          <w:tcPr>
            <w:tcW w:w="1134" w:type="dxa"/>
            <w:vAlign w:val="center"/>
          </w:tcPr>
          <w:p>
            <w:pPr>
              <w:pStyle w:val="14"/>
            </w:pPr>
            <w:r>
              <w:t>2.58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5.75</w:t>
            </w:r>
          </w:p>
        </w:tc>
        <w:tc>
          <w:tcPr>
            <w:tcW w:w="1134" w:type="dxa"/>
            <w:vAlign w:val="center"/>
          </w:tcPr>
          <w:p>
            <w:pPr>
              <w:pStyle w:val="14"/>
            </w:pPr>
            <w:r>
              <w:t>5.75</w:t>
            </w:r>
          </w:p>
        </w:tc>
        <w:tc>
          <w:tcPr>
            <w:tcW w:w="1134" w:type="dxa"/>
            <w:vAlign w:val="center"/>
          </w:tcPr>
          <w:p>
            <w:pPr>
              <w:pStyle w:val="14"/>
            </w:pPr>
            <w:r>
              <w:t>5.75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5.75</w:t>
            </w:r>
          </w:p>
        </w:tc>
        <w:tc>
          <w:tcPr>
            <w:tcW w:w="1134" w:type="dxa"/>
            <w:vAlign w:val="center"/>
          </w:tcPr>
          <w:p>
            <w:pPr>
              <w:pStyle w:val="14"/>
            </w:pPr>
            <w:r>
              <w:t>5.75</w:t>
            </w:r>
          </w:p>
        </w:tc>
        <w:tc>
          <w:tcPr>
            <w:tcW w:w="1134" w:type="dxa"/>
            <w:vAlign w:val="center"/>
          </w:tcPr>
          <w:p>
            <w:pPr>
              <w:pStyle w:val="14"/>
            </w:pPr>
            <w:r>
              <w:t>5.75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5.75</w:t>
            </w:r>
          </w:p>
        </w:tc>
        <w:tc>
          <w:tcPr>
            <w:tcW w:w="1134" w:type="dxa"/>
            <w:vAlign w:val="center"/>
          </w:tcPr>
          <w:p>
            <w:pPr>
              <w:pStyle w:val="14"/>
            </w:pPr>
            <w:r>
              <w:t>5.75</w:t>
            </w:r>
          </w:p>
        </w:tc>
        <w:tc>
          <w:tcPr>
            <w:tcW w:w="1134" w:type="dxa"/>
            <w:vAlign w:val="center"/>
          </w:tcPr>
          <w:p>
            <w:pPr>
              <w:pStyle w:val="14"/>
            </w:pPr>
            <w:r>
              <w:t>5.75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315唐山市司法局芦台经济开发区分局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68.83</w:t>
            </w:r>
          </w:p>
        </w:tc>
        <w:tc>
          <w:tcPr>
            <w:tcW w:w="1361" w:type="dxa"/>
            <w:vAlign w:val="center"/>
          </w:tcPr>
          <w:p>
            <w:pPr>
              <w:pStyle w:val="18"/>
            </w:pPr>
            <w:r>
              <w:t>63.63</w:t>
            </w:r>
          </w:p>
        </w:tc>
        <w:tc>
          <w:tcPr>
            <w:tcW w:w="1361" w:type="dxa"/>
            <w:vAlign w:val="center"/>
          </w:tcPr>
          <w:p>
            <w:pPr>
              <w:pStyle w:val="18"/>
            </w:pPr>
            <w:r>
              <w:t>5.20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204</w:t>
            </w:r>
          </w:p>
        </w:tc>
        <w:tc>
          <w:tcPr>
            <w:tcW w:w="4535" w:type="dxa"/>
            <w:vAlign w:val="center"/>
          </w:tcPr>
          <w:p>
            <w:pPr>
              <w:pStyle w:val="15"/>
            </w:pPr>
            <w:r>
              <w:t>公共安全支出</w:t>
            </w:r>
          </w:p>
        </w:tc>
        <w:tc>
          <w:tcPr>
            <w:tcW w:w="1361" w:type="dxa"/>
            <w:vAlign w:val="center"/>
          </w:tcPr>
          <w:p>
            <w:pPr>
              <w:pStyle w:val="14"/>
            </w:pPr>
            <w:r>
              <w:t>56.10</w:t>
            </w:r>
          </w:p>
        </w:tc>
        <w:tc>
          <w:tcPr>
            <w:tcW w:w="1361" w:type="dxa"/>
            <w:vAlign w:val="center"/>
          </w:tcPr>
          <w:p>
            <w:pPr>
              <w:pStyle w:val="14"/>
            </w:pPr>
            <w:r>
              <w:t>50.90</w:t>
            </w:r>
          </w:p>
        </w:tc>
        <w:tc>
          <w:tcPr>
            <w:tcW w:w="1361" w:type="dxa"/>
            <w:vAlign w:val="center"/>
          </w:tcPr>
          <w:p>
            <w:pPr>
              <w:pStyle w:val="14"/>
            </w:pPr>
            <w:r>
              <w:t>5.20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20406</w:t>
            </w:r>
          </w:p>
        </w:tc>
        <w:tc>
          <w:tcPr>
            <w:tcW w:w="4535" w:type="dxa"/>
            <w:vAlign w:val="center"/>
          </w:tcPr>
          <w:p>
            <w:pPr>
              <w:pStyle w:val="15"/>
            </w:pPr>
            <w:r>
              <w:t>司法</w:t>
            </w:r>
          </w:p>
        </w:tc>
        <w:tc>
          <w:tcPr>
            <w:tcW w:w="1361" w:type="dxa"/>
            <w:vAlign w:val="center"/>
          </w:tcPr>
          <w:p>
            <w:pPr>
              <w:pStyle w:val="14"/>
            </w:pPr>
            <w:r>
              <w:t>56.10</w:t>
            </w:r>
          </w:p>
        </w:tc>
        <w:tc>
          <w:tcPr>
            <w:tcW w:w="1361" w:type="dxa"/>
            <w:vAlign w:val="center"/>
          </w:tcPr>
          <w:p>
            <w:pPr>
              <w:pStyle w:val="14"/>
            </w:pPr>
            <w:r>
              <w:t>50.90</w:t>
            </w:r>
          </w:p>
        </w:tc>
        <w:tc>
          <w:tcPr>
            <w:tcW w:w="1361" w:type="dxa"/>
            <w:vAlign w:val="center"/>
          </w:tcPr>
          <w:p>
            <w:pPr>
              <w:pStyle w:val="14"/>
            </w:pPr>
            <w:r>
              <w:t>5.20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2040601</w:t>
            </w:r>
          </w:p>
        </w:tc>
        <w:tc>
          <w:tcPr>
            <w:tcW w:w="4535" w:type="dxa"/>
            <w:vAlign w:val="center"/>
          </w:tcPr>
          <w:p>
            <w:pPr>
              <w:pStyle w:val="15"/>
            </w:pPr>
            <w:r>
              <w:t>行政运行</w:t>
            </w:r>
          </w:p>
        </w:tc>
        <w:tc>
          <w:tcPr>
            <w:tcW w:w="1361" w:type="dxa"/>
            <w:vAlign w:val="center"/>
          </w:tcPr>
          <w:p>
            <w:pPr>
              <w:pStyle w:val="14"/>
            </w:pPr>
            <w:r>
              <w:t>50.90</w:t>
            </w:r>
          </w:p>
        </w:tc>
        <w:tc>
          <w:tcPr>
            <w:tcW w:w="1361" w:type="dxa"/>
            <w:vAlign w:val="center"/>
          </w:tcPr>
          <w:p>
            <w:pPr>
              <w:pStyle w:val="14"/>
            </w:pPr>
            <w:r>
              <w:t>50.90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2040604</w:t>
            </w:r>
          </w:p>
        </w:tc>
        <w:tc>
          <w:tcPr>
            <w:tcW w:w="4535" w:type="dxa"/>
            <w:vAlign w:val="center"/>
          </w:tcPr>
          <w:p>
            <w:pPr>
              <w:pStyle w:val="15"/>
            </w:pPr>
            <w:r>
              <w:t>基层司法业务</w:t>
            </w: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r>
              <w:t>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2040699</w:t>
            </w:r>
          </w:p>
        </w:tc>
        <w:tc>
          <w:tcPr>
            <w:tcW w:w="4535" w:type="dxa"/>
            <w:vAlign w:val="center"/>
          </w:tcPr>
          <w:p>
            <w:pPr>
              <w:pStyle w:val="15"/>
            </w:pPr>
            <w:r>
              <w:t>其他司法支出</w:t>
            </w:r>
          </w:p>
        </w:tc>
        <w:tc>
          <w:tcPr>
            <w:tcW w:w="1361" w:type="dxa"/>
            <w:vAlign w:val="center"/>
          </w:tcPr>
          <w:p>
            <w:pPr>
              <w:pStyle w:val="14"/>
            </w:pPr>
            <w:r>
              <w:t>4.20</w:t>
            </w:r>
          </w:p>
        </w:tc>
        <w:tc>
          <w:tcPr>
            <w:tcW w:w="1361" w:type="dxa"/>
            <w:vAlign w:val="center"/>
          </w:tcPr>
          <w:p>
            <w:pPr>
              <w:pStyle w:val="14"/>
            </w:pPr>
          </w:p>
        </w:tc>
        <w:tc>
          <w:tcPr>
            <w:tcW w:w="1361" w:type="dxa"/>
            <w:vAlign w:val="center"/>
          </w:tcPr>
          <w:p>
            <w:pPr>
              <w:pStyle w:val="14"/>
            </w:pPr>
            <w:r>
              <w:t>4.20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2.88</w:t>
            </w:r>
          </w:p>
        </w:tc>
        <w:tc>
          <w:tcPr>
            <w:tcW w:w="1361" w:type="dxa"/>
            <w:vAlign w:val="center"/>
          </w:tcPr>
          <w:p>
            <w:pPr>
              <w:pStyle w:val="14"/>
            </w:pPr>
            <w:r>
              <w:t>2.88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2.88</w:t>
            </w:r>
          </w:p>
        </w:tc>
        <w:tc>
          <w:tcPr>
            <w:tcW w:w="1361" w:type="dxa"/>
            <w:vAlign w:val="center"/>
          </w:tcPr>
          <w:p>
            <w:pPr>
              <w:pStyle w:val="14"/>
            </w:pPr>
            <w:r>
              <w:t>2.88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2080599</w:t>
            </w:r>
          </w:p>
        </w:tc>
        <w:tc>
          <w:tcPr>
            <w:tcW w:w="4535" w:type="dxa"/>
            <w:vAlign w:val="center"/>
          </w:tcPr>
          <w:p>
            <w:pPr>
              <w:pStyle w:val="15"/>
            </w:pPr>
            <w:r>
              <w:t>其他行政事业单位养老支出</w:t>
            </w:r>
          </w:p>
        </w:tc>
        <w:tc>
          <w:tcPr>
            <w:tcW w:w="1361" w:type="dxa"/>
            <w:vAlign w:val="center"/>
          </w:tcPr>
          <w:p>
            <w:pPr>
              <w:pStyle w:val="14"/>
            </w:pPr>
            <w:r>
              <w:t>2.88</w:t>
            </w:r>
          </w:p>
        </w:tc>
        <w:tc>
          <w:tcPr>
            <w:tcW w:w="1361" w:type="dxa"/>
            <w:vAlign w:val="center"/>
          </w:tcPr>
          <w:p>
            <w:pPr>
              <w:pStyle w:val="14"/>
            </w:pPr>
            <w:r>
              <w:t>2.88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4.10</w:t>
            </w:r>
          </w:p>
        </w:tc>
        <w:tc>
          <w:tcPr>
            <w:tcW w:w="1361" w:type="dxa"/>
            <w:vAlign w:val="center"/>
          </w:tcPr>
          <w:p>
            <w:pPr>
              <w:pStyle w:val="14"/>
            </w:pPr>
            <w:r>
              <w:t>4.10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4.10</w:t>
            </w:r>
          </w:p>
        </w:tc>
        <w:tc>
          <w:tcPr>
            <w:tcW w:w="1361" w:type="dxa"/>
            <w:vAlign w:val="center"/>
          </w:tcPr>
          <w:p>
            <w:pPr>
              <w:pStyle w:val="14"/>
            </w:pPr>
            <w:r>
              <w:t>4.10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1.52</w:t>
            </w:r>
          </w:p>
        </w:tc>
        <w:tc>
          <w:tcPr>
            <w:tcW w:w="1361" w:type="dxa"/>
            <w:vAlign w:val="center"/>
          </w:tcPr>
          <w:p>
            <w:pPr>
              <w:pStyle w:val="14"/>
            </w:pPr>
            <w:r>
              <w:t>1.52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2.58</w:t>
            </w:r>
          </w:p>
        </w:tc>
        <w:tc>
          <w:tcPr>
            <w:tcW w:w="1361" w:type="dxa"/>
            <w:vAlign w:val="center"/>
          </w:tcPr>
          <w:p>
            <w:pPr>
              <w:pStyle w:val="14"/>
            </w:pPr>
            <w:r>
              <w:t>2.58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5.75</w:t>
            </w:r>
          </w:p>
        </w:tc>
        <w:tc>
          <w:tcPr>
            <w:tcW w:w="1361" w:type="dxa"/>
            <w:vAlign w:val="center"/>
          </w:tcPr>
          <w:p>
            <w:pPr>
              <w:pStyle w:val="14"/>
            </w:pPr>
            <w:r>
              <w:t>5.75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5.75</w:t>
            </w:r>
          </w:p>
        </w:tc>
        <w:tc>
          <w:tcPr>
            <w:tcW w:w="1361" w:type="dxa"/>
            <w:vAlign w:val="center"/>
          </w:tcPr>
          <w:p>
            <w:pPr>
              <w:pStyle w:val="14"/>
            </w:pPr>
            <w:r>
              <w:t>5.75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5.75</w:t>
            </w:r>
          </w:p>
        </w:tc>
        <w:tc>
          <w:tcPr>
            <w:tcW w:w="1361" w:type="dxa"/>
            <w:vAlign w:val="center"/>
          </w:tcPr>
          <w:p>
            <w:pPr>
              <w:pStyle w:val="14"/>
            </w:pPr>
            <w:r>
              <w:t>5.75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315唐山市司法局芦台经济开发区分局</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68.83</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r>
              <w:t>56.10</w:t>
            </w:r>
          </w:p>
        </w:tc>
        <w:tc>
          <w:tcPr>
            <w:tcW w:w="1474" w:type="dxa"/>
            <w:vAlign w:val="center"/>
          </w:tcPr>
          <w:p>
            <w:pPr>
              <w:pStyle w:val="14"/>
            </w:pPr>
            <w:r>
              <w:t>56.10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2.88</w:t>
            </w:r>
          </w:p>
        </w:tc>
        <w:tc>
          <w:tcPr>
            <w:tcW w:w="1474" w:type="dxa"/>
            <w:vAlign w:val="center"/>
          </w:tcPr>
          <w:p>
            <w:pPr>
              <w:pStyle w:val="14"/>
            </w:pPr>
            <w:r>
              <w:t>2.88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4.10</w:t>
            </w:r>
          </w:p>
        </w:tc>
        <w:tc>
          <w:tcPr>
            <w:tcW w:w="1474" w:type="dxa"/>
            <w:vAlign w:val="center"/>
          </w:tcPr>
          <w:p>
            <w:pPr>
              <w:pStyle w:val="14"/>
            </w:pPr>
            <w:r>
              <w:t>4.10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5.75</w:t>
            </w:r>
          </w:p>
        </w:tc>
        <w:tc>
          <w:tcPr>
            <w:tcW w:w="1474" w:type="dxa"/>
            <w:vAlign w:val="center"/>
          </w:tcPr>
          <w:p>
            <w:pPr>
              <w:pStyle w:val="14"/>
            </w:pPr>
            <w:r>
              <w:t>5.75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68.83</w:t>
            </w:r>
          </w:p>
        </w:tc>
        <w:tc>
          <w:tcPr>
            <w:tcW w:w="3402" w:type="dxa"/>
            <w:vAlign w:val="center"/>
          </w:tcPr>
          <w:p>
            <w:pPr>
              <w:pStyle w:val="17"/>
            </w:pPr>
            <w:r>
              <w:t>本年支出合计</w:t>
            </w:r>
          </w:p>
        </w:tc>
        <w:tc>
          <w:tcPr>
            <w:tcW w:w="1474" w:type="dxa"/>
            <w:vAlign w:val="center"/>
          </w:tcPr>
          <w:p>
            <w:pPr>
              <w:pStyle w:val="18"/>
            </w:pPr>
            <w:r>
              <w:t>68.83</w:t>
            </w:r>
          </w:p>
        </w:tc>
        <w:tc>
          <w:tcPr>
            <w:tcW w:w="1474" w:type="dxa"/>
            <w:vAlign w:val="center"/>
          </w:tcPr>
          <w:p>
            <w:pPr>
              <w:pStyle w:val="18"/>
            </w:pPr>
            <w:r>
              <w:t>68.83</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68.83</w:t>
            </w:r>
          </w:p>
        </w:tc>
        <w:tc>
          <w:tcPr>
            <w:tcW w:w="3402" w:type="dxa"/>
            <w:vAlign w:val="center"/>
          </w:tcPr>
          <w:p>
            <w:pPr>
              <w:pStyle w:val="17"/>
            </w:pPr>
            <w:r>
              <w:t>支出总计</w:t>
            </w:r>
          </w:p>
        </w:tc>
        <w:tc>
          <w:tcPr>
            <w:tcW w:w="1474" w:type="dxa"/>
            <w:vAlign w:val="center"/>
          </w:tcPr>
          <w:p>
            <w:pPr>
              <w:pStyle w:val="18"/>
            </w:pPr>
            <w:r>
              <w:t>68.83</w:t>
            </w:r>
          </w:p>
        </w:tc>
        <w:tc>
          <w:tcPr>
            <w:tcW w:w="1474" w:type="dxa"/>
            <w:vAlign w:val="center"/>
          </w:tcPr>
          <w:p>
            <w:pPr>
              <w:pStyle w:val="18"/>
            </w:pPr>
            <w:r>
              <w:t>68.83</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315唐山市司法局芦台经济开发区分局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68.83</w:t>
            </w:r>
          </w:p>
        </w:tc>
        <w:tc>
          <w:tcPr>
            <w:tcW w:w="2551" w:type="dxa"/>
            <w:vAlign w:val="center"/>
          </w:tcPr>
          <w:p>
            <w:pPr>
              <w:pStyle w:val="18"/>
            </w:pPr>
            <w:r>
              <w:t>63.63</w:t>
            </w:r>
          </w:p>
        </w:tc>
        <w:tc>
          <w:tcPr>
            <w:tcW w:w="2551" w:type="dxa"/>
            <w:vAlign w:val="center"/>
          </w:tcPr>
          <w:p>
            <w:pPr>
              <w:pStyle w:val="18"/>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204</w:t>
            </w:r>
          </w:p>
        </w:tc>
        <w:tc>
          <w:tcPr>
            <w:tcW w:w="4535" w:type="dxa"/>
            <w:vAlign w:val="center"/>
          </w:tcPr>
          <w:p>
            <w:pPr>
              <w:pStyle w:val="15"/>
            </w:pPr>
            <w:r>
              <w:t>公共安全支出</w:t>
            </w:r>
          </w:p>
        </w:tc>
        <w:tc>
          <w:tcPr>
            <w:tcW w:w="2551" w:type="dxa"/>
            <w:vAlign w:val="center"/>
          </w:tcPr>
          <w:p>
            <w:pPr>
              <w:pStyle w:val="14"/>
            </w:pPr>
            <w:r>
              <w:t>56.10</w:t>
            </w:r>
          </w:p>
        </w:tc>
        <w:tc>
          <w:tcPr>
            <w:tcW w:w="2551" w:type="dxa"/>
            <w:vAlign w:val="center"/>
          </w:tcPr>
          <w:p>
            <w:pPr>
              <w:pStyle w:val="14"/>
            </w:pPr>
            <w:r>
              <w:t>50.90</w:t>
            </w:r>
          </w:p>
        </w:tc>
        <w:tc>
          <w:tcPr>
            <w:tcW w:w="2551" w:type="dxa"/>
            <w:vAlign w:val="center"/>
          </w:tcPr>
          <w:p>
            <w:pPr>
              <w:pStyle w:val="14"/>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20406</w:t>
            </w:r>
          </w:p>
        </w:tc>
        <w:tc>
          <w:tcPr>
            <w:tcW w:w="4535" w:type="dxa"/>
            <w:vAlign w:val="center"/>
          </w:tcPr>
          <w:p>
            <w:pPr>
              <w:pStyle w:val="15"/>
            </w:pPr>
            <w:r>
              <w:t>司法</w:t>
            </w:r>
          </w:p>
        </w:tc>
        <w:tc>
          <w:tcPr>
            <w:tcW w:w="2551" w:type="dxa"/>
            <w:vAlign w:val="center"/>
          </w:tcPr>
          <w:p>
            <w:pPr>
              <w:pStyle w:val="14"/>
            </w:pPr>
            <w:r>
              <w:t>56.10</w:t>
            </w:r>
          </w:p>
        </w:tc>
        <w:tc>
          <w:tcPr>
            <w:tcW w:w="2551" w:type="dxa"/>
            <w:vAlign w:val="center"/>
          </w:tcPr>
          <w:p>
            <w:pPr>
              <w:pStyle w:val="14"/>
            </w:pPr>
            <w:r>
              <w:t>50.90</w:t>
            </w:r>
          </w:p>
        </w:tc>
        <w:tc>
          <w:tcPr>
            <w:tcW w:w="2551" w:type="dxa"/>
            <w:vAlign w:val="center"/>
          </w:tcPr>
          <w:p>
            <w:pPr>
              <w:pStyle w:val="14"/>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2040601</w:t>
            </w:r>
          </w:p>
        </w:tc>
        <w:tc>
          <w:tcPr>
            <w:tcW w:w="4535" w:type="dxa"/>
            <w:vAlign w:val="center"/>
          </w:tcPr>
          <w:p>
            <w:pPr>
              <w:pStyle w:val="15"/>
            </w:pPr>
            <w:r>
              <w:t>行政运行</w:t>
            </w:r>
          </w:p>
        </w:tc>
        <w:tc>
          <w:tcPr>
            <w:tcW w:w="2551" w:type="dxa"/>
            <w:vAlign w:val="center"/>
          </w:tcPr>
          <w:p>
            <w:pPr>
              <w:pStyle w:val="14"/>
            </w:pPr>
            <w:r>
              <w:t>50.90</w:t>
            </w:r>
          </w:p>
        </w:tc>
        <w:tc>
          <w:tcPr>
            <w:tcW w:w="2551" w:type="dxa"/>
            <w:vAlign w:val="center"/>
          </w:tcPr>
          <w:p>
            <w:pPr>
              <w:pStyle w:val="14"/>
            </w:pPr>
            <w:r>
              <w:t>50.90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2040604</w:t>
            </w:r>
          </w:p>
        </w:tc>
        <w:tc>
          <w:tcPr>
            <w:tcW w:w="4535" w:type="dxa"/>
            <w:vAlign w:val="center"/>
          </w:tcPr>
          <w:p>
            <w:pPr>
              <w:pStyle w:val="15"/>
            </w:pPr>
            <w:r>
              <w:t>基层司法业务</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2040699</w:t>
            </w:r>
          </w:p>
        </w:tc>
        <w:tc>
          <w:tcPr>
            <w:tcW w:w="4535" w:type="dxa"/>
            <w:vAlign w:val="center"/>
          </w:tcPr>
          <w:p>
            <w:pPr>
              <w:pStyle w:val="15"/>
            </w:pPr>
            <w:r>
              <w:t>其他司法支出</w:t>
            </w:r>
          </w:p>
        </w:tc>
        <w:tc>
          <w:tcPr>
            <w:tcW w:w="2551" w:type="dxa"/>
            <w:vAlign w:val="center"/>
          </w:tcPr>
          <w:p>
            <w:pPr>
              <w:pStyle w:val="14"/>
            </w:pPr>
            <w:r>
              <w:t>4.20</w:t>
            </w:r>
          </w:p>
        </w:tc>
        <w:tc>
          <w:tcPr>
            <w:tcW w:w="2551" w:type="dxa"/>
            <w:vAlign w:val="center"/>
          </w:tcPr>
          <w:p>
            <w:pPr>
              <w:pStyle w:val="14"/>
            </w:pPr>
          </w:p>
        </w:tc>
        <w:tc>
          <w:tcPr>
            <w:tcW w:w="2551" w:type="dxa"/>
            <w:vAlign w:val="center"/>
          </w:tcPr>
          <w:p>
            <w:pPr>
              <w:pStyle w:val="14"/>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2.88</w:t>
            </w:r>
          </w:p>
        </w:tc>
        <w:tc>
          <w:tcPr>
            <w:tcW w:w="2551" w:type="dxa"/>
            <w:vAlign w:val="center"/>
          </w:tcPr>
          <w:p>
            <w:pPr>
              <w:pStyle w:val="14"/>
            </w:pPr>
            <w:r>
              <w:t>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2.88</w:t>
            </w:r>
          </w:p>
        </w:tc>
        <w:tc>
          <w:tcPr>
            <w:tcW w:w="2551" w:type="dxa"/>
            <w:vAlign w:val="center"/>
          </w:tcPr>
          <w:p>
            <w:pPr>
              <w:pStyle w:val="14"/>
            </w:pPr>
            <w:r>
              <w:t>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2080599</w:t>
            </w:r>
          </w:p>
        </w:tc>
        <w:tc>
          <w:tcPr>
            <w:tcW w:w="4535" w:type="dxa"/>
            <w:vAlign w:val="center"/>
          </w:tcPr>
          <w:p>
            <w:pPr>
              <w:pStyle w:val="15"/>
            </w:pPr>
            <w:r>
              <w:t>其他行政事业单位养老支出</w:t>
            </w:r>
          </w:p>
        </w:tc>
        <w:tc>
          <w:tcPr>
            <w:tcW w:w="2551" w:type="dxa"/>
            <w:vAlign w:val="center"/>
          </w:tcPr>
          <w:p>
            <w:pPr>
              <w:pStyle w:val="14"/>
            </w:pPr>
            <w:r>
              <w:t>2.88</w:t>
            </w:r>
          </w:p>
        </w:tc>
        <w:tc>
          <w:tcPr>
            <w:tcW w:w="2551" w:type="dxa"/>
            <w:vAlign w:val="center"/>
          </w:tcPr>
          <w:p>
            <w:pPr>
              <w:pStyle w:val="14"/>
            </w:pPr>
            <w:r>
              <w:t>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4.10</w:t>
            </w:r>
          </w:p>
        </w:tc>
        <w:tc>
          <w:tcPr>
            <w:tcW w:w="2551" w:type="dxa"/>
            <w:vAlign w:val="center"/>
          </w:tcPr>
          <w:p>
            <w:pPr>
              <w:pStyle w:val="14"/>
            </w:pPr>
            <w:r>
              <w:t>4.10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4.10</w:t>
            </w:r>
          </w:p>
        </w:tc>
        <w:tc>
          <w:tcPr>
            <w:tcW w:w="2551" w:type="dxa"/>
            <w:vAlign w:val="center"/>
          </w:tcPr>
          <w:p>
            <w:pPr>
              <w:pStyle w:val="14"/>
            </w:pPr>
            <w:r>
              <w:t>4.10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1.52</w:t>
            </w:r>
          </w:p>
        </w:tc>
        <w:tc>
          <w:tcPr>
            <w:tcW w:w="2551" w:type="dxa"/>
            <w:vAlign w:val="center"/>
          </w:tcPr>
          <w:p>
            <w:pPr>
              <w:pStyle w:val="14"/>
            </w:pPr>
            <w:r>
              <w:t>1.52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2.58</w:t>
            </w:r>
          </w:p>
        </w:tc>
        <w:tc>
          <w:tcPr>
            <w:tcW w:w="2551" w:type="dxa"/>
            <w:vAlign w:val="center"/>
          </w:tcPr>
          <w:p>
            <w:pPr>
              <w:pStyle w:val="14"/>
            </w:pPr>
            <w:r>
              <w:t>2.58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5.75</w:t>
            </w:r>
          </w:p>
        </w:tc>
        <w:tc>
          <w:tcPr>
            <w:tcW w:w="2551" w:type="dxa"/>
            <w:vAlign w:val="center"/>
          </w:tcPr>
          <w:p>
            <w:pPr>
              <w:pStyle w:val="14"/>
            </w:pPr>
            <w:r>
              <w:t>5.75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5.75</w:t>
            </w:r>
          </w:p>
        </w:tc>
        <w:tc>
          <w:tcPr>
            <w:tcW w:w="2551" w:type="dxa"/>
            <w:vAlign w:val="center"/>
          </w:tcPr>
          <w:p>
            <w:pPr>
              <w:pStyle w:val="14"/>
            </w:pPr>
            <w:r>
              <w:t>5.75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5.75</w:t>
            </w:r>
          </w:p>
        </w:tc>
        <w:tc>
          <w:tcPr>
            <w:tcW w:w="2551" w:type="dxa"/>
            <w:vAlign w:val="center"/>
          </w:tcPr>
          <w:p>
            <w:pPr>
              <w:pStyle w:val="14"/>
            </w:pPr>
            <w:r>
              <w:t>5.75</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315唐山市司法局芦台经济开发区分局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63.63</w:t>
            </w:r>
          </w:p>
        </w:tc>
        <w:tc>
          <w:tcPr>
            <w:tcW w:w="2551" w:type="dxa"/>
            <w:vAlign w:val="center"/>
          </w:tcPr>
          <w:p>
            <w:pPr>
              <w:pStyle w:val="18"/>
            </w:pPr>
            <w:r>
              <w:t>53.03</w:t>
            </w:r>
          </w:p>
        </w:tc>
        <w:tc>
          <w:tcPr>
            <w:tcW w:w="2551" w:type="dxa"/>
            <w:vAlign w:val="center"/>
          </w:tcPr>
          <w:p>
            <w:pPr>
              <w:pStyle w:val="18"/>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48.41</w:t>
            </w:r>
          </w:p>
        </w:tc>
        <w:tc>
          <w:tcPr>
            <w:tcW w:w="2551" w:type="dxa"/>
            <w:vAlign w:val="center"/>
          </w:tcPr>
          <w:p>
            <w:pPr>
              <w:pStyle w:val="14"/>
            </w:pPr>
            <w:r>
              <w:t>48.41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10.86</w:t>
            </w:r>
          </w:p>
        </w:tc>
        <w:tc>
          <w:tcPr>
            <w:tcW w:w="2551" w:type="dxa"/>
            <w:vAlign w:val="center"/>
          </w:tcPr>
          <w:p>
            <w:pPr>
              <w:pStyle w:val="14"/>
            </w:pPr>
            <w:r>
              <w:t>10.86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11.20</w:t>
            </w:r>
          </w:p>
        </w:tc>
        <w:tc>
          <w:tcPr>
            <w:tcW w:w="2551" w:type="dxa"/>
            <w:vAlign w:val="center"/>
          </w:tcPr>
          <w:p>
            <w:pPr>
              <w:pStyle w:val="14"/>
            </w:pPr>
            <w:r>
              <w:t>11.20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5.75</w:t>
            </w:r>
          </w:p>
        </w:tc>
        <w:tc>
          <w:tcPr>
            <w:tcW w:w="2551" w:type="dxa"/>
            <w:vAlign w:val="center"/>
          </w:tcPr>
          <w:p>
            <w:pPr>
              <w:pStyle w:val="14"/>
            </w:pPr>
            <w:r>
              <w:t>5.75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3.29</w:t>
            </w:r>
          </w:p>
        </w:tc>
        <w:tc>
          <w:tcPr>
            <w:tcW w:w="2551" w:type="dxa"/>
            <w:vAlign w:val="center"/>
          </w:tcPr>
          <w:p>
            <w:pPr>
              <w:pStyle w:val="14"/>
            </w:pPr>
            <w:r>
              <w:t>3.29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1.64</w:t>
            </w:r>
          </w:p>
        </w:tc>
        <w:tc>
          <w:tcPr>
            <w:tcW w:w="2551" w:type="dxa"/>
            <w:vAlign w:val="center"/>
          </w:tcPr>
          <w:p>
            <w:pPr>
              <w:pStyle w:val="14"/>
            </w:pPr>
            <w:r>
              <w:t>1.64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1.52</w:t>
            </w:r>
          </w:p>
        </w:tc>
        <w:tc>
          <w:tcPr>
            <w:tcW w:w="2551" w:type="dxa"/>
            <w:vAlign w:val="center"/>
          </w:tcPr>
          <w:p>
            <w:pPr>
              <w:pStyle w:val="14"/>
            </w:pPr>
            <w:r>
              <w:t>1.52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1.74</w:t>
            </w:r>
          </w:p>
        </w:tc>
        <w:tc>
          <w:tcPr>
            <w:tcW w:w="2551" w:type="dxa"/>
            <w:vAlign w:val="center"/>
          </w:tcPr>
          <w:p>
            <w:pPr>
              <w:pStyle w:val="14"/>
            </w:pPr>
            <w:r>
              <w:t>1.74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0.25</w:t>
            </w:r>
          </w:p>
        </w:tc>
        <w:tc>
          <w:tcPr>
            <w:tcW w:w="2551" w:type="dxa"/>
            <w:vAlign w:val="center"/>
          </w:tcPr>
          <w:p>
            <w:pPr>
              <w:pStyle w:val="14"/>
            </w:pPr>
            <w:r>
              <w:t>0.25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5.75</w:t>
            </w:r>
          </w:p>
        </w:tc>
        <w:tc>
          <w:tcPr>
            <w:tcW w:w="2551" w:type="dxa"/>
            <w:vAlign w:val="center"/>
          </w:tcPr>
          <w:p>
            <w:pPr>
              <w:pStyle w:val="14"/>
            </w:pPr>
            <w:r>
              <w:t>5.75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6.41</w:t>
            </w:r>
          </w:p>
        </w:tc>
        <w:tc>
          <w:tcPr>
            <w:tcW w:w="2551" w:type="dxa"/>
            <w:vAlign w:val="center"/>
          </w:tcPr>
          <w:p>
            <w:pPr>
              <w:pStyle w:val="14"/>
            </w:pPr>
            <w:r>
              <w:t>6.41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10.60</w:t>
            </w:r>
          </w:p>
        </w:tc>
        <w:tc>
          <w:tcPr>
            <w:tcW w:w="2551" w:type="dxa"/>
            <w:vAlign w:val="center"/>
          </w:tcPr>
          <w:p>
            <w:pPr>
              <w:pStyle w:val="14"/>
            </w:pPr>
          </w:p>
        </w:tc>
        <w:tc>
          <w:tcPr>
            <w:tcW w:w="2551" w:type="dxa"/>
            <w:vAlign w:val="center"/>
          </w:tcPr>
          <w:p>
            <w:pPr>
              <w:pStyle w:val="14"/>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2.03</w:t>
            </w:r>
          </w:p>
        </w:tc>
        <w:tc>
          <w:tcPr>
            <w:tcW w:w="2551" w:type="dxa"/>
            <w:vAlign w:val="center"/>
          </w:tcPr>
          <w:p>
            <w:pPr>
              <w:pStyle w:val="14"/>
            </w:pPr>
          </w:p>
        </w:tc>
        <w:tc>
          <w:tcPr>
            <w:tcW w:w="2551" w:type="dxa"/>
            <w:vAlign w:val="center"/>
          </w:tcPr>
          <w:p>
            <w:pPr>
              <w:pStyle w:val="14"/>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0.46</w:t>
            </w:r>
          </w:p>
        </w:tc>
        <w:tc>
          <w:tcPr>
            <w:tcW w:w="2551" w:type="dxa"/>
            <w:vAlign w:val="center"/>
          </w:tcPr>
          <w:p>
            <w:pPr>
              <w:pStyle w:val="14"/>
            </w:pPr>
          </w:p>
        </w:tc>
        <w:tc>
          <w:tcPr>
            <w:tcW w:w="2551" w:type="dxa"/>
            <w:vAlign w:val="center"/>
          </w:tcPr>
          <w:p>
            <w:pPr>
              <w:pStyle w:val="14"/>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1.54</w:t>
            </w:r>
          </w:p>
        </w:tc>
        <w:tc>
          <w:tcPr>
            <w:tcW w:w="2551" w:type="dxa"/>
            <w:vAlign w:val="center"/>
          </w:tcPr>
          <w:p>
            <w:pPr>
              <w:pStyle w:val="14"/>
            </w:pPr>
          </w:p>
        </w:tc>
        <w:tc>
          <w:tcPr>
            <w:tcW w:w="2551" w:type="dxa"/>
            <w:vAlign w:val="center"/>
          </w:tcPr>
          <w:p>
            <w:pPr>
              <w:pStyle w:val="14"/>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0.90</w:t>
            </w:r>
          </w:p>
        </w:tc>
        <w:tc>
          <w:tcPr>
            <w:tcW w:w="2551" w:type="dxa"/>
            <w:vAlign w:val="center"/>
          </w:tcPr>
          <w:p>
            <w:pPr>
              <w:pStyle w:val="14"/>
            </w:pPr>
          </w:p>
        </w:tc>
        <w:tc>
          <w:tcPr>
            <w:tcW w:w="2551" w:type="dxa"/>
            <w:vAlign w:val="center"/>
          </w:tcPr>
          <w:p>
            <w:pPr>
              <w:pStyle w:val="14"/>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0.79</w:t>
            </w:r>
          </w:p>
        </w:tc>
        <w:tc>
          <w:tcPr>
            <w:tcW w:w="2551" w:type="dxa"/>
            <w:vAlign w:val="center"/>
          </w:tcPr>
          <w:p>
            <w:pPr>
              <w:pStyle w:val="14"/>
            </w:pPr>
          </w:p>
        </w:tc>
        <w:tc>
          <w:tcPr>
            <w:tcW w:w="2551" w:type="dxa"/>
            <w:vAlign w:val="center"/>
          </w:tcPr>
          <w:p>
            <w:pPr>
              <w:pStyle w:val="14"/>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0.50</w:t>
            </w:r>
          </w:p>
        </w:tc>
        <w:tc>
          <w:tcPr>
            <w:tcW w:w="2551" w:type="dxa"/>
            <w:vAlign w:val="center"/>
          </w:tcPr>
          <w:p>
            <w:pPr>
              <w:pStyle w:val="14"/>
            </w:pPr>
          </w:p>
        </w:tc>
        <w:tc>
          <w:tcPr>
            <w:tcW w:w="2551" w:type="dxa"/>
            <w:vAlign w:val="center"/>
          </w:tcPr>
          <w:p>
            <w:pPr>
              <w:pStyle w:val="14"/>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0.20</w:t>
            </w:r>
          </w:p>
        </w:tc>
        <w:tc>
          <w:tcPr>
            <w:tcW w:w="2551" w:type="dxa"/>
            <w:vAlign w:val="center"/>
          </w:tcPr>
          <w:p>
            <w:pPr>
              <w:pStyle w:val="14"/>
            </w:pPr>
          </w:p>
        </w:tc>
        <w:tc>
          <w:tcPr>
            <w:tcW w:w="2551" w:type="dxa"/>
            <w:vAlign w:val="center"/>
          </w:tcPr>
          <w:p>
            <w:pPr>
              <w:pStyle w:val="14"/>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0.34</w:t>
            </w:r>
          </w:p>
        </w:tc>
        <w:tc>
          <w:tcPr>
            <w:tcW w:w="2551" w:type="dxa"/>
            <w:vAlign w:val="center"/>
          </w:tcPr>
          <w:p>
            <w:pPr>
              <w:pStyle w:val="14"/>
            </w:pPr>
          </w:p>
        </w:tc>
        <w:tc>
          <w:tcPr>
            <w:tcW w:w="2551" w:type="dxa"/>
            <w:vAlign w:val="center"/>
          </w:tcPr>
          <w:p>
            <w:pPr>
              <w:pStyle w:val="14"/>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0.43</w:t>
            </w:r>
          </w:p>
        </w:tc>
        <w:tc>
          <w:tcPr>
            <w:tcW w:w="2551" w:type="dxa"/>
            <w:vAlign w:val="center"/>
          </w:tcPr>
          <w:p>
            <w:pPr>
              <w:pStyle w:val="14"/>
            </w:pPr>
          </w:p>
        </w:tc>
        <w:tc>
          <w:tcPr>
            <w:tcW w:w="2551" w:type="dxa"/>
            <w:vAlign w:val="center"/>
          </w:tcPr>
          <w:p>
            <w:pPr>
              <w:pStyle w:val="14"/>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2.33</w:t>
            </w:r>
          </w:p>
        </w:tc>
        <w:tc>
          <w:tcPr>
            <w:tcW w:w="2551" w:type="dxa"/>
            <w:vAlign w:val="center"/>
          </w:tcPr>
          <w:p>
            <w:pPr>
              <w:pStyle w:val="14"/>
            </w:pPr>
          </w:p>
        </w:tc>
        <w:tc>
          <w:tcPr>
            <w:tcW w:w="2551" w:type="dxa"/>
            <w:vAlign w:val="center"/>
          </w:tcPr>
          <w:p>
            <w:pPr>
              <w:pStyle w:val="14"/>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1.08</w:t>
            </w:r>
          </w:p>
        </w:tc>
        <w:tc>
          <w:tcPr>
            <w:tcW w:w="2551" w:type="dxa"/>
            <w:vAlign w:val="center"/>
          </w:tcPr>
          <w:p>
            <w:pPr>
              <w:pStyle w:val="14"/>
            </w:pPr>
          </w:p>
        </w:tc>
        <w:tc>
          <w:tcPr>
            <w:tcW w:w="2551" w:type="dxa"/>
            <w:vAlign w:val="center"/>
          </w:tcPr>
          <w:p>
            <w:pPr>
              <w:pStyle w:val="14"/>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4.62</w:t>
            </w:r>
          </w:p>
        </w:tc>
        <w:tc>
          <w:tcPr>
            <w:tcW w:w="2551" w:type="dxa"/>
            <w:vAlign w:val="center"/>
          </w:tcPr>
          <w:p>
            <w:pPr>
              <w:pStyle w:val="14"/>
            </w:pPr>
            <w:r>
              <w:t>4.62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3.78</w:t>
            </w:r>
          </w:p>
        </w:tc>
        <w:tc>
          <w:tcPr>
            <w:tcW w:w="2551" w:type="dxa"/>
            <w:vAlign w:val="center"/>
          </w:tcPr>
          <w:p>
            <w:pPr>
              <w:pStyle w:val="14"/>
            </w:pPr>
            <w:r>
              <w:t>3.78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30307</w:t>
            </w:r>
          </w:p>
        </w:tc>
        <w:tc>
          <w:tcPr>
            <w:tcW w:w="4535" w:type="dxa"/>
            <w:vAlign w:val="center"/>
          </w:tcPr>
          <w:p>
            <w:pPr>
              <w:pStyle w:val="15"/>
            </w:pPr>
            <w:r>
              <w:t>医疗费补助</w:t>
            </w:r>
          </w:p>
        </w:tc>
        <w:tc>
          <w:tcPr>
            <w:tcW w:w="2551" w:type="dxa"/>
            <w:vAlign w:val="center"/>
          </w:tcPr>
          <w:p>
            <w:pPr>
              <w:pStyle w:val="14"/>
            </w:pPr>
            <w:r>
              <w:t>0.84</w:t>
            </w:r>
          </w:p>
        </w:tc>
        <w:tc>
          <w:tcPr>
            <w:tcW w:w="2551" w:type="dxa"/>
            <w:vAlign w:val="center"/>
          </w:tcPr>
          <w:p>
            <w:pPr>
              <w:pStyle w:val="14"/>
            </w:pPr>
            <w:r>
              <w:t>0.84</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315唐山市司法局芦台经济开发区分局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315唐山市司法局芦台经济开发区分局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315唐山市司法局芦台经济开发区分局</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lang w:eastAsia="zh-CN"/>
              </w:rPr>
              <w:t>1</w:t>
            </w:r>
          </w:p>
        </w:tc>
        <w:tc>
          <w:tcPr>
            <w:tcW w:w="3798" w:type="dxa"/>
            <w:vAlign w:val="center"/>
          </w:tcPr>
          <w:p>
            <w:pPr>
              <w:pStyle w:val="15"/>
              <w:jc w:val="center"/>
              <w:rPr>
                <w:lang w:eastAsia="zh-CN"/>
              </w:rPr>
            </w:pPr>
            <w:r>
              <w:rPr>
                <w:lang w:eastAsia="zh-CN"/>
              </w:rPr>
              <w:t>合计</w:t>
            </w:r>
          </w:p>
        </w:tc>
        <w:tc>
          <w:tcPr>
            <w:tcW w:w="2382" w:type="dxa"/>
            <w:vAlign w:val="center"/>
          </w:tcPr>
          <w:p>
            <w:pPr>
              <w:pStyle w:val="14"/>
            </w:pPr>
            <w:r>
              <w:rPr>
                <w:lang w:eastAsia="zh-CN"/>
              </w:rPr>
              <w:t>2</w:t>
            </w:r>
            <w:r>
              <w:rPr>
                <w:rFonts w:hint="eastAsia"/>
                <w:lang w:eastAsia="zh-CN"/>
              </w:rPr>
              <w:t>.33</w:t>
            </w:r>
          </w:p>
        </w:tc>
        <w:tc>
          <w:tcPr>
            <w:tcW w:w="2381" w:type="dxa"/>
            <w:vAlign w:val="center"/>
          </w:tcPr>
          <w:p>
            <w:pPr>
              <w:pStyle w:val="14"/>
            </w:pPr>
            <w:r>
              <w:rPr>
                <w:rFonts w:hint="eastAsia"/>
                <w:lang w:eastAsia="zh-CN"/>
              </w:rPr>
              <w:t>2.33</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lang w:eastAsia="zh-CN"/>
              </w:rPr>
              <w:t>2</w:t>
            </w:r>
          </w:p>
        </w:tc>
        <w:tc>
          <w:tcPr>
            <w:tcW w:w="3798" w:type="dxa"/>
            <w:vAlign w:val="center"/>
          </w:tcPr>
          <w:p>
            <w:pPr>
              <w:pStyle w:val="15"/>
              <w:rPr>
                <w:lang w:eastAsia="zh-CN"/>
              </w:rPr>
            </w:pPr>
            <w:r>
              <w:rPr>
                <w:lang w:eastAsia="zh-CN"/>
              </w:rPr>
              <w:t>一、因公出国（境）外</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lang w:eastAsia="zh-CN"/>
              </w:rPr>
              <w:t>3</w:t>
            </w:r>
          </w:p>
        </w:tc>
        <w:tc>
          <w:tcPr>
            <w:tcW w:w="3798" w:type="dxa"/>
            <w:vAlign w:val="center"/>
          </w:tcPr>
          <w:p>
            <w:pPr>
              <w:pStyle w:val="15"/>
              <w:rPr>
                <w:lang w:eastAsia="zh-CN"/>
              </w:rPr>
            </w:pPr>
            <w:r>
              <w:rPr>
                <w:lang w:eastAsia="zh-CN"/>
              </w:rPr>
              <w:t>二、公务用车购置及运行费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lang w:eastAsia="zh-CN"/>
              </w:rPr>
              <w:t>4</w:t>
            </w:r>
          </w:p>
        </w:tc>
        <w:tc>
          <w:tcPr>
            <w:tcW w:w="3798" w:type="dxa"/>
            <w:vAlign w:val="center"/>
          </w:tcPr>
          <w:p>
            <w:pPr>
              <w:pStyle w:val="15"/>
              <w:ind w:firstLine="420" w:firstLineChars="200"/>
              <w:rPr>
                <w:lang w:eastAsia="zh-CN"/>
              </w:rPr>
            </w:pPr>
            <w:r>
              <w:rPr>
                <w:lang w:eastAsia="zh-CN"/>
              </w:rPr>
              <w:t>其中：公务用车购置费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lang w:eastAsia="zh-CN"/>
              </w:rPr>
              <w:t>5</w:t>
            </w:r>
          </w:p>
        </w:tc>
        <w:tc>
          <w:tcPr>
            <w:tcW w:w="3798" w:type="dxa"/>
            <w:vAlign w:val="center"/>
          </w:tcPr>
          <w:p>
            <w:pPr>
              <w:pStyle w:val="15"/>
              <w:rPr>
                <w:lang w:eastAsia="zh-CN"/>
              </w:rPr>
            </w:pPr>
            <w:r>
              <w:rPr>
                <w:lang w:eastAsia="zh-CN"/>
              </w:rPr>
              <w:t xml:space="preserve">           公务用车运行维护费</w:t>
            </w:r>
          </w:p>
        </w:tc>
        <w:tc>
          <w:tcPr>
            <w:tcW w:w="2382" w:type="dxa"/>
            <w:vAlign w:val="center"/>
          </w:tcPr>
          <w:p>
            <w:pPr>
              <w:pStyle w:val="14"/>
              <w:rPr>
                <w:lang w:eastAsia="zh-CN"/>
              </w:rPr>
            </w:pPr>
            <w:r>
              <w:rPr>
                <w:rFonts w:hint="eastAsia"/>
                <w:lang w:eastAsia="zh-CN"/>
              </w:rPr>
              <w:t>2.33</w:t>
            </w:r>
          </w:p>
        </w:tc>
        <w:tc>
          <w:tcPr>
            <w:tcW w:w="2381" w:type="dxa"/>
            <w:vAlign w:val="center"/>
          </w:tcPr>
          <w:p>
            <w:pPr>
              <w:pStyle w:val="14"/>
            </w:pPr>
            <w:r>
              <w:rPr>
                <w:rFonts w:hint="eastAsia"/>
                <w:lang w:eastAsia="zh-CN"/>
              </w:rPr>
              <w:t>2.33</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lang w:eastAsia="zh-CN"/>
              </w:rPr>
            </w:pPr>
            <w:r>
              <w:rPr>
                <w:lang w:eastAsia="zh-CN"/>
              </w:rPr>
              <w:t>6</w:t>
            </w:r>
          </w:p>
        </w:tc>
        <w:tc>
          <w:tcPr>
            <w:tcW w:w="3798" w:type="dxa"/>
            <w:vAlign w:val="center"/>
          </w:tcPr>
          <w:p>
            <w:pPr>
              <w:pStyle w:val="15"/>
            </w:pPr>
            <w:r>
              <w:rPr>
                <w:lang w:eastAsia="zh-CN"/>
              </w:rPr>
              <w:t>三、公务接待费</w:t>
            </w:r>
          </w:p>
        </w:tc>
        <w:tc>
          <w:tcPr>
            <w:tcW w:w="2382"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唐山市司法局芦台经济开发区分局2022年部门预算信息公开情况说明</w:t>
      </w:r>
    </w:p>
    <w:p>
      <w:pPr>
        <w:jc w:val="center"/>
      </w:pPr>
      <w:r>
        <w:rPr>
          <w:rFonts w:ascii="方正小标宋_GBK" w:hAnsi="方正小标宋_GBK" w:eastAsia="方正小标宋_GBK" w:cs="方正小标宋_GBK"/>
          <w:color w:val="000000"/>
          <w:sz w:val="44"/>
        </w:rPr>
        <w:t>唐山市司法局芦台经济开发区分局2022年部门预算信息公开情况说明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按照《预算法》、《地方预决算公开操作规程》和《关于进一步推进预算公开工作的实施意见》规定，现将唐山市司法局芦台经济开发区分局2022年部门预算公开如下：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6"/>
        <w:spacing w:before="0" w:beforeAutospacing="0" w:after="0" w:afterAutospacing="0"/>
        <w:ind w:firstLine="640" w:firstLineChars="200"/>
        <w:rPr>
          <w:rFonts w:ascii="方正仿宋简体" w:hAnsi="方正仿宋简体" w:eastAsia="方正仿宋简体" w:cs="方正仿宋简体"/>
          <w:color w:val="222222"/>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lang w:val="uk-UA"/>
        </w:rPr>
        <w:t>、贯彻执行国家法律、法规和司法行政工作方针、政策，制定司法行政工作计划。</w:t>
      </w:r>
      <w:r>
        <w:rPr>
          <w:rFonts w:hint="eastAsia" w:eastAsia="宋体"/>
          <w:color w:val="000000"/>
          <w:sz w:val="32"/>
          <w:szCs w:val="32"/>
        </w:rPr>
        <w:t> </w:t>
      </w:r>
      <w:r>
        <w:rPr>
          <w:rFonts w:hint="eastAsia" w:ascii="方正仿宋简体" w:hAnsi="方正仿宋简体" w:eastAsia="方正仿宋简体" w:cs="方正仿宋简体"/>
          <w:color w:val="000000"/>
          <w:sz w:val="32"/>
          <w:szCs w:val="32"/>
        </w:rPr>
        <w:t xml:space="preserve"> </w:t>
      </w:r>
      <w:r>
        <w:rPr>
          <w:rFonts w:hint="eastAsia" w:eastAsia="宋体"/>
          <w:color w:val="000000"/>
          <w:sz w:val="32"/>
          <w:szCs w:val="32"/>
        </w:rPr>
        <w:t> </w:t>
      </w:r>
    </w:p>
    <w:p>
      <w:pPr>
        <w:pStyle w:val="6"/>
        <w:spacing w:before="0" w:beforeAutospacing="0" w:after="0" w:afterAutospacing="0"/>
        <w:rPr>
          <w:rFonts w:ascii="方正仿宋简体" w:hAnsi="方正仿宋简体" w:eastAsia="方正仿宋简体" w:cs="方正仿宋简体"/>
          <w:color w:val="222222"/>
          <w:sz w:val="32"/>
          <w:szCs w:val="32"/>
        </w:rPr>
      </w:pPr>
      <w:r>
        <w:rPr>
          <w:rFonts w:hint="eastAsia" w:eastAsia="宋体"/>
          <w:color w:val="000000"/>
          <w:sz w:val="32"/>
          <w:szCs w:val="32"/>
        </w:rPr>
        <w:t> </w:t>
      </w:r>
      <w:r>
        <w:rPr>
          <w:rFonts w:hint="eastAsia" w:ascii="方正仿宋简体" w:hAnsi="方正仿宋简体" w:eastAsia="方正仿宋简体" w:cs="方正仿宋简体"/>
          <w:color w:val="000000"/>
          <w:sz w:val="32"/>
          <w:szCs w:val="32"/>
        </w:rPr>
        <w:t xml:space="preserve">  2</w:t>
      </w:r>
      <w:r>
        <w:rPr>
          <w:rFonts w:hint="eastAsia" w:ascii="方正仿宋简体" w:hAnsi="方正仿宋简体" w:eastAsia="方正仿宋简体" w:cs="方正仿宋简体"/>
          <w:color w:val="000000"/>
          <w:sz w:val="32"/>
          <w:szCs w:val="32"/>
          <w:lang w:val="uk-UA"/>
        </w:rPr>
        <w:t>、负责全区开展法制宣传、普及法律知识和指导开展青少年法制教育工作。</w:t>
      </w:r>
    </w:p>
    <w:p>
      <w:pPr>
        <w:pStyle w:val="6"/>
        <w:spacing w:before="0" w:beforeAutospacing="0" w:after="0" w:afterAutospacing="0"/>
        <w:rPr>
          <w:rFonts w:ascii="方正仿宋简体" w:hAnsi="方正仿宋简体" w:eastAsia="方正仿宋简体" w:cs="方正仿宋简体"/>
          <w:color w:val="222222"/>
          <w:sz w:val="32"/>
          <w:szCs w:val="32"/>
        </w:rPr>
      </w:pPr>
      <w:r>
        <w:rPr>
          <w:rFonts w:hint="eastAsia" w:eastAsia="宋体"/>
          <w:color w:val="000000"/>
          <w:sz w:val="32"/>
          <w:szCs w:val="32"/>
        </w:rPr>
        <w:t> </w:t>
      </w:r>
      <w:r>
        <w:rPr>
          <w:rFonts w:hint="eastAsia" w:ascii="方正仿宋简体" w:hAnsi="方正仿宋简体" w:eastAsia="方正仿宋简体" w:cs="方正仿宋简体"/>
          <w:color w:val="000000"/>
          <w:sz w:val="32"/>
          <w:szCs w:val="32"/>
        </w:rPr>
        <w:t xml:space="preserve">  3</w:t>
      </w:r>
      <w:r>
        <w:rPr>
          <w:rFonts w:hint="eastAsia" w:ascii="方正仿宋简体" w:hAnsi="方正仿宋简体" w:eastAsia="方正仿宋简体" w:cs="方正仿宋简体"/>
          <w:color w:val="000000"/>
          <w:sz w:val="32"/>
          <w:szCs w:val="32"/>
          <w:lang w:val="uk-UA"/>
        </w:rPr>
        <w:t>、指导、管理、监督辖区内社会法律服务机构。</w:t>
      </w:r>
    </w:p>
    <w:p>
      <w:pPr>
        <w:ind w:firstLine="640" w:firstLineChars="200"/>
        <w:rPr>
          <w:rFonts w:ascii="方正仿宋简体" w:hAnsi="方正仿宋简体" w:eastAsia="方正仿宋简体" w:cs="方正仿宋简体"/>
          <w:bCs/>
          <w:color w:val="000000"/>
          <w:sz w:val="32"/>
          <w:szCs w:val="32"/>
        </w:rPr>
      </w:pPr>
      <w:r>
        <w:rPr>
          <w:rFonts w:hint="eastAsia"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color w:val="000000"/>
          <w:sz w:val="32"/>
          <w:szCs w:val="32"/>
          <w:lang w:val="uk-UA"/>
        </w:rPr>
        <w:t>、</w:t>
      </w:r>
      <w:r>
        <w:rPr>
          <w:rFonts w:hint="eastAsia" w:ascii="方正仿宋简体" w:hAnsi="方正仿宋简体" w:eastAsia="方正仿宋简体" w:cs="方正仿宋简体"/>
          <w:bCs/>
          <w:color w:val="000000"/>
          <w:sz w:val="32"/>
          <w:szCs w:val="32"/>
          <w:lang w:val="uk-UA"/>
        </w:rPr>
        <w:t>管理和指导全区人民调解工作。健全调解组织，完善调解制度，指导各有关单位、系统开展“人民调解六进”工作，培训民调骨干；参与“三位一体”大调解和社会矛盾综合调控工作；参与社会治安综合治理工作。</w:t>
      </w:r>
    </w:p>
    <w:p>
      <w:pPr>
        <w:pStyle w:val="6"/>
        <w:spacing w:before="0" w:beforeAutospacing="0" w:after="0" w:afterAutospacing="0"/>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w:t>
      </w:r>
      <w:r>
        <w:rPr>
          <w:rFonts w:hint="eastAsia" w:ascii="方正仿宋简体" w:hAnsi="方正仿宋简体" w:eastAsia="方正仿宋简体" w:cs="方正仿宋简体"/>
          <w:color w:val="000000"/>
          <w:sz w:val="32"/>
          <w:szCs w:val="32"/>
          <w:lang w:val="uk-UA"/>
        </w:rPr>
        <w:t>、</w:t>
      </w:r>
      <w:r>
        <w:rPr>
          <w:rFonts w:hint="eastAsia" w:ascii="方正仿宋简体" w:hAnsi="方正仿宋简体" w:eastAsia="方正仿宋简体" w:cs="方正仿宋简体"/>
          <w:bCs/>
          <w:color w:val="000000"/>
          <w:sz w:val="32"/>
          <w:szCs w:val="32"/>
          <w:lang w:val="uk-UA"/>
        </w:rPr>
        <w:t>负责指导和管理社区矫正工作</w:t>
      </w:r>
      <w:r>
        <w:rPr>
          <w:rFonts w:hint="eastAsia" w:ascii="方正仿宋简体" w:hAnsi="方正仿宋简体" w:eastAsia="方正仿宋简体" w:cs="方正仿宋简体"/>
          <w:color w:val="000000"/>
          <w:sz w:val="32"/>
          <w:szCs w:val="32"/>
          <w:lang w:val="uk-UA"/>
        </w:rPr>
        <w:t>对刑满释放安置帮教工作。</w:t>
      </w:r>
    </w:p>
    <w:p>
      <w:pPr>
        <w:pStyle w:val="6"/>
        <w:spacing w:before="0" w:beforeAutospacing="0" w:after="0" w:afterAutospacing="0"/>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sz w:val="32"/>
          <w:szCs w:val="32"/>
        </w:rPr>
        <w:t>6</w:t>
      </w:r>
      <w:r>
        <w:rPr>
          <w:rFonts w:hint="eastAsia" w:ascii="方正仿宋简体" w:hAnsi="方正仿宋简体" w:eastAsia="方正仿宋简体" w:cs="方正仿宋简体"/>
          <w:bCs/>
          <w:color w:val="000000"/>
          <w:sz w:val="32"/>
          <w:szCs w:val="32"/>
          <w:lang w:val="uk-UA"/>
        </w:rPr>
        <w:t>、管理、指导基层司法所、法律服务所工作。</w:t>
      </w:r>
    </w:p>
    <w:p>
      <w:pPr>
        <w:pStyle w:val="6"/>
        <w:spacing w:before="0" w:beforeAutospacing="0" w:after="0" w:afterAutospacing="0"/>
        <w:rPr>
          <w:rFonts w:ascii="方正仿宋简体" w:hAnsi="方正仿宋简体" w:eastAsia="方正仿宋简体" w:cs="方正仿宋简体"/>
          <w:color w:val="222222"/>
          <w:sz w:val="32"/>
          <w:szCs w:val="32"/>
        </w:rPr>
      </w:pPr>
      <w:r>
        <w:rPr>
          <w:rFonts w:hint="eastAsia" w:eastAsia="宋体"/>
          <w:color w:val="000000"/>
          <w:sz w:val="32"/>
          <w:szCs w:val="32"/>
        </w:rPr>
        <w:t> </w:t>
      </w:r>
      <w:r>
        <w:rPr>
          <w:rFonts w:hint="eastAsia" w:ascii="方正仿宋简体" w:hAnsi="方正仿宋简体" w:eastAsia="方正仿宋简体" w:cs="方正仿宋简体"/>
          <w:color w:val="000000"/>
          <w:sz w:val="32"/>
          <w:szCs w:val="32"/>
        </w:rPr>
        <w:t xml:space="preserve">  7</w:t>
      </w:r>
      <w:r>
        <w:rPr>
          <w:rFonts w:hint="eastAsia" w:ascii="方正仿宋简体" w:hAnsi="方正仿宋简体" w:eastAsia="方正仿宋简体" w:cs="方正仿宋简体"/>
          <w:color w:val="000000"/>
          <w:sz w:val="32"/>
          <w:szCs w:val="32"/>
          <w:lang w:val="uk-UA"/>
        </w:rPr>
        <w:t>、管理全区“</w:t>
      </w:r>
      <w:r>
        <w:rPr>
          <w:rFonts w:hint="eastAsia" w:ascii="方正仿宋简体" w:hAnsi="方正仿宋简体" w:eastAsia="方正仿宋简体" w:cs="方正仿宋简体"/>
          <w:color w:val="000000"/>
          <w:sz w:val="32"/>
          <w:szCs w:val="32"/>
        </w:rPr>
        <w:t>12348</w:t>
      </w:r>
      <w:r>
        <w:rPr>
          <w:rFonts w:hint="eastAsia" w:ascii="方正仿宋简体" w:hAnsi="方正仿宋简体" w:eastAsia="方正仿宋简体" w:cs="方正仿宋简体"/>
          <w:color w:val="000000"/>
          <w:sz w:val="32"/>
          <w:szCs w:val="32"/>
          <w:lang w:val="uk-UA"/>
        </w:rPr>
        <w:t>”法律服务工作。</w:t>
      </w:r>
    </w:p>
    <w:p>
      <w:pPr>
        <w:pStyle w:val="6"/>
        <w:spacing w:before="0" w:beforeAutospacing="0" w:after="0" w:afterAutospacing="0"/>
        <w:rPr>
          <w:rFonts w:ascii="方正仿宋简体" w:hAnsi="方正仿宋简体" w:eastAsia="方正仿宋简体" w:cs="方正仿宋简体"/>
          <w:color w:val="222222"/>
          <w:sz w:val="32"/>
          <w:szCs w:val="32"/>
        </w:rPr>
      </w:pPr>
      <w:r>
        <w:rPr>
          <w:rFonts w:hint="eastAsia" w:eastAsia="宋体"/>
          <w:color w:val="000000"/>
          <w:sz w:val="32"/>
          <w:szCs w:val="32"/>
        </w:rPr>
        <w:t> </w:t>
      </w:r>
      <w:r>
        <w:rPr>
          <w:rFonts w:hint="eastAsia" w:ascii="方正仿宋简体" w:hAnsi="方正仿宋简体" w:eastAsia="方正仿宋简体" w:cs="方正仿宋简体"/>
          <w:color w:val="000000"/>
          <w:sz w:val="32"/>
          <w:szCs w:val="32"/>
        </w:rPr>
        <w:t xml:space="preserve">  8</w:t>
      </w:r>
      <w:r>
        <w:rPr>
          <w:rFonts w:hint="eastAsia" w:ascii="方正仿宋简体" w:hAnsi="方正仿宋简体" w:eastAsia="方正仿宋简体" w:cs="方正仿宋简体"/>
          <w:color w:val="000000"/>
          <w:sz w:val="32"/>
          <w:szCs w:val="32"/>
          <w:lang w:val="uk-UA"/>
        </w:rPr>
        <w:t>、指导、监督、组织实施本区法律援助工作。</w:t>
      </w:r>
    </w:p>
    <w:p>
      <w:pPr>
        <w:pStyle w:val="6"/>
        <w:spacing w:before="0" w:beforeAutospacing="0" w:after="0" w:afterAutospacing="0"/>
        <w:ind w:firstLine="320" w:firstLineChars="100"/>
        <w:rPr>
          <w:rFonts w:ascii="方正仿宋简体" w:hAnsi="方正仿宋简体" w:eastAsia="方正仿宋简体" w:cs="方正仿宋简体"/>
          <w:color w:val="222222"/>
          <w:sz w:val="32"/>
          <w:szCs w:val="32"/>
        </w:rPr>
      </w:pPr>
      <w:r>
        <w:rPr>
          <w:rFonts w:hint="eastAsia" w:eastAsia="宋体"/>
          <w:color w:val="000000"/>
          <w:sz w:val="32"/>
          <w:szCs w:val="32"/>
        </w:rPr>
        <w:t> </w:t>
      </w:r>
      <w:r>
        <w:rPr>
          <w:rFonts w:hint="eastAsia" w:ascii="方正仿宋简体" w:hAnsi="方正仿宋简体" w:eastAsia="方正仿宋简体" w:cs="方正仿宋简体"/>
          <w:color w:val="000000"/>
          <w:sz w:val="32"/>
          <w:szCs w:val="32"/>
        </w:rPr>
        <w:t>9</w:t>
      </w:r>
      <w:r>
        <w:rPr>
          <w:rFonts w:hint="eastAsia" w:ascii="方正仿宋简体" w:hAnsi="方正仿宋简体" w:eastAsia="方正仿宋简体" w:cs="方正仿宋简体"/>
          <w:color w:val="000000"/>
          <w:sz w:val="32"/>
          <w:szCs w:val="32"/>
          <w:lang w:val="uk-UA"/>
        </w:rPr>
        <w:t>、参与依法治区和维护稳定及社会治安综合治理工作。</w:t>
      </w:r>
    </w:p>
    <w:p>
      <w:pPr>
        <w:pStyle w:val="6"/>
        <w:spacing w:before="0" w:beforeAutospacing="0" w:after="0" w:afterAutospacing="0"/>
        <w:ind w:firstLine="320" w:firstLineChars="100"/>
      </w:pPr>
      <w:r>
        <w:rPr>
          <w:rFonts w:hint="eastAsia" w:eastAsia="宋体"/>
          <w:color w:val="000000"/>
          <w:sz w:val="32"/>
          <w:szCs w:val="32"/>
        </w:rPr>
        <w:t> </w:t>
      </w:r>
      <w:r>
        <w:rPr>
          <w:rFonts w:hint="eastAsia" w:ascii="方正仿宋简体" w:hAnsi="方正仿宋简体" w:eastAsia="方正仿宋简体" w:cs="方正仿宋简体"/>
          <w:color w:val="000000"/>
          <w:sz w:val="32"/>
          <w:szCs w:val="32"/>
        </w:rPr>
        <w:t>10</w:t>
      </w:r>
      <w:r>
        <w:rPr>
          <w:rFonts w:hint="eastAsia" w:ascii="方正仿宋简体" w:hAnsi="方正仿宋简体" w:eastAsia="方正仿宋简体" w:cs="方正仿宋简体"/>
          <w:color w:val="000000"/>
          <w:sz w:val="32"/>
          <w:szCs w:val="32"/>
          <w:lang w:val="uk-UA"/>
        </w:rPr>
        <w:t>、承办区委、区政府和上级司法行政部门交办的其他事项。</w:t>
      </w:r>
    </w:p>
    <w:p>
      <w:pPr>
        <w:pStyle w:val="2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唐山市司法局芦台经济开发区分局本级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按照预算管理有关规定，目前我省部门预算的编制实行综合预算管理，即全部收入和支出都反映在预算中。唐山市司法局</w:t>
      </w:r>
      <w:r>
        <w:rPr>
          <w:rFonts w:hint="eastAsia" w:eastAsia="方正仿宋_GBK"/>
          <w:color w:val="000000"/>
          <w:sz w:val="28"/>
          <w:lang w:eastAsia="zh-CN"/>
        </w:rPr>
        <w:t>芦</w:t>
      </w:r>
      <w:r>
        <w:rPr>
          <w:rFonts w:eastAsia="方正仿宋_GBK"/>
          <w:color w:val="000000"/>
          <w:sz w:val="28"/>
        </w:rPr>
        <w:t>台经济开发区分局机关及所属事业单位的收支包含在部门预算中。</w:t>
      </w:r>
    </w:p>
    <w:p>
      <w:pPr>
        <w:pStyle w:val="21"/>
      </w:pPr>
      <w:r>
        <w:rPr>
          <w:rFonts w:hint="eastAsia"/>
        </w:rPr>
        <w:t>（一）收入情况：</w:t>
      </w:r>
      <w:r>
        <w:t>2022</w:t>
      </w:r>
      <w:r>
        <w:rPr>
          <w:rFonts w:hint="eastAsia"/>
        </w:rPr>
        <w:t>年司法分局总收入</w:t>
      </w:r>
      <w:r>
        <w:t>68.83</w:t>
      </w:r>
      <w:r>
        <w:rPr>
          <w:rFonts w:hint="eastAsia"/>
        </w:rPr>
        <w:t>万元，均为财政补助拨款。</w:t>
      </w:r>
    </w:p>
    <w:p>
      <w:pPr>
        <w:pStyle w:val="21"/>
      </w:pPr>
      <w:r>
        <w:rPr>
          <w:rFonts w:hint="eastAsia"/>
        </w:rPr>
        <w:t> </w:t>
      </w:r>
      <w:r>
        <w:t xml:space="preserve"> </w:t>
      </w:r>
      <w:r>
        <w:rPr>
          <w:rFonts w:hint="eastAsia"/>
        </w:rPr>
        <w:t>（二）支出情况：</w:t>
      </w:r>
      <w:r>
        <w:t>2022</w:t>
      </w:r>
      <w:r>
        <w:rPr>
          <w:rFonts w:hint="eastAsia"/>
        </w:rPr>
        <w:t>年司法分局总支出</w:t>
      </w:r>
      <w:r>
        <w:t>68.83</w:t>
      </w:r>
      <w:r>
        <w:rPr>
          <w:rFonts w:hint="eastAsia"/>
        </w:rPr>
        <w:t>万元总支出，其中人员经费</w:t>
      </w:r>
      <w:r>
        <w:t>53.03</w:t>
      </w:r>
      <w:r>
        <w:rPr>
          <w:rFonts w:hint="eastAsia"/>
        </w:rPr>
        <w:t>万元，公用经费</w:t>
      </w:r>
      <w:r>
        <w:t>10.6</w:t>
      </w:r>
      <w:r>
        <w:rPr>
          <w:rFonts w:hint="eastAsia"/>
        </w:rPr>
        <w:t>万元，项目支出</w:t>
      </w:r>
      <w:r>
        <w:t>5.20</w:t>
      </w:r>
      <w:r>
        <w:rPr>
          <w:rFonts w:hint="eastAsia"/>
        </w:rPr>
        <w:t>万元。</w:t>
      </w:r>
    </w:p>
    <w:p>
      <w:pPr>
        <w:pStyle w:val="21"/>
      </w:pPr>
      <w:r>
        <w:rPr>
          <w:rFonts w:hint="eastAsia"/>
        </w:rPr>
        <w:t> </w:t>
      </w:r>
      <w:r>
        <w:t xml:space="preserve"> </w:t>
      </w:r>
      <w:r>
        <w:rPr>
          <w:rFonts w:hint="eastAsia"/>
        </w:rPr>
        <w:t>（三）比上年增减情况：</w:t>
      </w:r>
      <w:r>
        <w:t>2022</w:t>
      </w:r>
      <w:r>
        <w:rPr>
          <w:rFonts w:hint="eastAsia"/>
        </w:rPr>
        <w:t>年司法分局预算较</w:t>
      </w:r>
      <w:r>
        <w:t>2021</w:t>
      </w:r>
      <w:r>
        <w:rPr>
          <w:rFonts w:hint="eastAsia"/>
        </w:rPr>
        <w:t>年减少</w:t>
      </w:r>
      <w:r>
        <w:t>3.28</w:t>
      </w:r>
      <w:r>
        <w:rPr>
          <w:rFonts w:hint="eastAsia"/>
        </w:rPr>
        <w:t>万元，其中人员经费减少</w:t>
      </w:r>
      <w:r>
        <w:t>2.71</w:t>
      </w:r>
      <w:r>
        <w:rPr>
          <w:rFonts w:hint="eastAsia"/>
        </w:rPr>
        <w:t>万元（工作人员工资、津贴补贴、职业年金缴费、其他社会保障缴费、奖金和机关事业单位基本养老保险缴费相应调整），公用经费减少</w:t>
      </w:r>
      <w:r>
        <w:t>0.57</w:t>
      </w:r>
      <w:r>
        <w:rPr>
          <w:rFonts w:hint="eastAsia"/>
        </w:rPr>
        <w:t>元，减少原因是压缩成本，节省开支。</w:t>
      </w: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10" w:after="10" w:line="360" w:lineRule="auto"/>
        <w:ind w:firstLine="600" w:firstLineChars="200"/>
        <w:outlineLvl w:val="2"/>
        <w:rPr>
          <w:rFonts w:eastAsia="宋体"/>
          <w:lang w:eastAsia="zh-CN"/>
        </w:rPr>
      </w:pPr>
      <w:r>
        <w:rPr>
          <w:rFonts w:hint="eastAsia"/>
          <w:color w:val="000000"/>
          <w:sz w:val="30"/>
          <w:szCs w:val="30"/>
        </w:rPr>
        <w:t>202</w:t>
      </w:r>
      <w:r>
        <w:rPr>
          <w:rFonts w:hint="eastAsia"/>
          <w:color w:val="000000"/>
          <w:sz w:val="30"/>
          <w:szCs w:val="30"/>
          <w:lang w:eastAsia="zh-CN"/>
        </w:rPr>
        <w:t>2</w:t>
      </w:r>
      <w:r>
        <w:rPr>
          <w:rFonts w:hint="eastAsia"/>
          <w:color w:val="000000"/>
          <w:sz w:val="30"/>
          <w:szCs w:val="30"/>
        </w:rPr>
        <w:t>年芦台经济开发区司法局共安排机关运行经费</w:t>
      </w:r>
      <w:r>
        <w:rPr>
          <w:rFonts w:hint="eastAsia"/>
          <w:color w:val="000000"/>
          <w:sz w:val="30"/>
          <w:szCs w:val="30"/>
          <w:lang w:eastAsia="zh-CN"/>
        </w:rPr>
        <w:t>10.6</w:t>
      </w:r>
      <w:r>
        <w:rPr>
          <w:rFonts w:hint="eastAsia"/>
          <w:color w:val="000000"/>
          <w:sz w:val="30"/>
          <w:szCs w:val="30"/>
        </w:rPr>
        <w:t>万元，主要包括以下项目：</w:t>
      </w:r>
      <w:r>
        <w:rPr>
          <w:rFonts w:hint="eastAsia"/>
          <w:sz w:val="30"/>
          <w:szCs w:val="30"/>
        </w:rPr>
        <w:t>电费</w:t>
      </w:r>
      <w:r>
        <w:rPr>
          <w:rFonts w:hint="eastAsia" w:eastAsia="宋体"/>
          <w:sz w:val="30"/>
          <w:szCs w:val="30"/>
          <w:lang w:eastAsia="zh-CN"/>
        </w:rPr>
        <w:t>1.54</w:t>
      </w:r>
      <w:r>
        <w:rPr>
          <w:rFonts w:hint="eastAsia"/>
          <w:sz w:val="30"/>
          <w:szCs w:val="30"/>
        </w:rPr>
        <w:t>万元、公务用车运行维护费</w:t>
      </w:r>
      <w:r>
        <w:rPr>
          <w:rFonts w:hint="eastAsia"/>
          <w:sz w:val="30"/>
          <w:szCs w:val="30"/>
          <w:lang w:eastAsia="zh-CN"/>
        </w:rPr>
        <w:t>2.33</w:t>
      </w:r>
      <w:r>
        <w:rPr>
          <w:rFonts w:hint="eastAsia"/>
          <w:sz w:val="30"/>
          <w:szCs w:val="30"/>
        </w:rPr>
        <w:t>万元、印刷费0.</w:t>
      </w:r>
      <w:r>
        <w:rPr>
          <w:rFonts w:hint="eastAsia"/>
          <w:sz w:val="30"/>
          <w:szCs w:val="30"/>
          <w:lang w:eastAsia="zh-CN"/>
        </w:rPr>
        <w:t>46</w:t>
      </w:r>
      <w:r>
        <w:rPr>
          <w:rFonts w:hint="eastAsia"/>
          <w:sz w:val="30"/>
          <w:szCs w:val="30"/>
        </w:rPr>
        <w:t>万元、取暖费</w:t>
      </w:r>
      <w:r>
        <w:rPr>
          <w:rFonts w:hint="eastAsia"/>
          <w:sz w:val="30"/>
          <w:szCs w:val="30"/>
          <w:lang w:eastAsia="zh-CN"/>
        </w:rPr>
        <w:t>0.79</w:t>
      </w:r>
      <w:r>
        <w:rPr>
          <w:rFonts w:hint="eastAsia"/>
          <w:sz w:val="30"/>
          <w:szCs w:val="30"/>
        </w:rPr>
        <w:t>元、办公费2.</w:t>
      </w:r>
      <w:r>
        <w:rPr>
          <w:rFonts w:hint="eastAsia"/>
          <w:sz w:val="30"/>
          <w:szCs w:val="30"/>
          <w:lang w:eastAsia="zh-CN"/>
        </w:rPr>
        <w:t>03</w:t>
      </w:r>
      <w:r>
        <w:rPr>
          <w:rFonts w:hint="eastAsia"/>
          <w:sz w:val="30"/>
          <w:szCs w:val="30"/>
        </w:rPr>
        <w:t>万元、差旅费</w:t>
      </w:r>
      <w:r>
        <w:rPr>
          <w:rFonts w:hint="eastAsia"/>
          <w:sz w:val="30"/>
          <w:szCs w:val="30"/>
          <w:lang w:eastAsia="zh-CN"/>
        </w:rPr>
        <w:t>0.5</w:t>
      </w:r>
      <w:r>
        <w:rPr>
          <w:rFonts w:hint="eastAsia"/>
          <w:sz w:val="30"/>
          <w:szCs w:val="30"/>
        </w:rPr>
        <w:t>万元、工会经费</w:t>
      </w:r>
      <w:r>
        <w:rPr>
          <w:rFonts w:hint="eastAsia"/>
          <w:sz w:val="30"/>
          <w:szCs w:val="30"/>
          <w:lang w:eastAsia="zh-CN"/>
        </w:rPr>
        <w:t>0.34</w:t>
      </w:r>
      <w:r>
        <w:rPr>
          <w:rFonts w:hint="eastAsia"/>
          <w:sz w:val="30"/>
          <w:szCs w:val="30"/>
        </w:rPr>
        <w:t>万元、邮电费</w:t>
      </w:r>
      <w:r>
        <w:rPr>
          <w:rFonts w:hint="eastAsia"/>
          <w:sz w:val="30"/>
          <w:szCs w:val="30"/>
          <w:lang w:eastAsia="zh-CN"/>
        </w:rPr>
        <w:t>0.9</w:t>
      </w:r>
      <w:r>
        <w:rPr>
          <w:rFonts w:hint="eastAsia"/>
          <w:sz w:val="30"/>
          <w:szCs w:val="30"/>
        </w:rPr>
        <w:t>万元、福利费0.</w:t>
      </w:r>
      <w:r>
        <w:rPr>
          <w:rFonts w:hint="eastAsia"/>
          <w:sz w:val="30"/>
          <w:szCs w:val="30"/>
          <w:lang w:eastAsia="zh-CN"/>
        </w:rPr>
        <w:t>43</w:t>
      </w:r>
      <w:r>
        <w:rPr>
          <w:rFonts w:hint="eastAsia"/>
          <w:sz w:val="30"/>
          <w:szCs w:val="30"/>
        </w:rPr>
        <w:t>万元、</w:t>
      </w:r>
      <w:r>
        <w:rPr>
          <w:rFonts w:hint="eastAsia" w:eastAsia="宋体"/>
          <w:sz w:val="30"/>
          <w:szCs w:val="30"/>
          <w:lang w:eastAsia="zh-CN"/>
        </w:rPr>
        <w:t>培训费0.2万元、</w:t>
      </w:r>
      <w:r>
        <w:rPr>
          <w:rFonts w:hint="eastAsia"/>
          <w:sz w:val="30"/>
          <w:szCs w:val="30"/>
        </w:rPr>
        <w:t>其他交通费用</w:t>
      </w:r>
      <w:r>
        <w:rPr>
          <w:rFonts w:hint="eastAsia"/>
          <w:sz w:val="30"/>
          <w:szCs w:val="30"/>
          <w:lang w:eastAsia="zh-CN"/>
        </w:rPr>
        <w:t>1.08</w:t>
      </w:r>
      <w:r>
        <w:rPr>
          <w:rFonts w:hint="eastAsia"/>
          <w:sz w:val="30"/>
          <w:szCs w:val="30"/>
        </w:rPr>
        <w:t>万元</w:t>
      </w:r>
      <w:r>
        <w:rPr>
          <w:rFonts w:hint="eastAsia" w:eastAsia="宋体"/>
          <w:sz w:val="30"/>
          <w:szCs w:val="30"/>
          <w:lang w:eastAsia="zh-CN"/>
        </w:rPr>
        <w:t>。</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6"/>
        <w:shd w:val="clear" w:color="auto" w:fill="FFFFFF"/>
        <w:spacing w:before="0" w:beforeAutospacing="0" w:after="0" w:afterAutospacing="0" w:line="293" w:lineRule="atLeast"/>
        <w:ind w:firstLine="640"/>
        <w:rPr>
          <w:rFonts w:ascii="仿宋" w:hAnsi="仿宋" w:eastAsia="仿宋" w:cs="Tahoma"/>
          <w:sz w:val="32"/>
          <w:szCs w:val="32"/>
        </w:rPr>
      </w:pPr>
      <w:r>
        <w:rPr>
          <w:rFonts w:hint="eastAsia" w:cs="Times New Roman"/>
          <w:kern w:val="2"/>
          <w:sz w:val="30"/>
          <w:szCs w:val="30"/>
        </w:rPr>
        <w:t>202</w:t>
      </w:r>
      <w:r>
        <w:rPr>
          <w:rFonts w:hint="eastAsia" w:cs="Times New Roman"/>
          <w:kern w:val="2"/>
          <w:sz w:val="30"/>
          <w:szCs w:val="30"/>
          <w:lang w:eastAsia="zh-CN"/>
        </w:rPr>
        <w:t>2</w:t>
      </w:r>
      <w:r>
        <w:rPr>
          <w:rFonts w:hint="eastAsia" w:cs="Times New Roman"/>
          <w:kern w:val="2"/>
          <w:sz w:val="30"/>
          <w:szCs w:val="30"/>
        </w:rPr>
        <w:t>年司法分局安排 “三公经费</w:t>
      </w:r>
      <w:r>
        <w:rPr>
          <w:rFonts w:hint="eastAsia" w:eastAsia="宋体" w:cs="Times New Roman"/>
          <w:kern w:val="2"/>
          <w:sz w:val="30"/>
          <w:szCs w:val="30"/>
          <w:lang w:eastAsia="zh-CN"/>
        </w:rPr>
        <w:t>2.33</w:t>
      </w:r>
      <w:r>
        <w:rPr>
          <w:rFonts w:hint="eastAsia" w:cs="Times New Roman"/>
          <w:kern w:val="2"/>
          <w:sz w:val="30"/>
          <w:szCs w:val="30"/>
        </w:rPr>
        <w:t>万元</w:t>
      </w:r>
      <w:r>
        <w:rPr>
          <w:rFonts w:hint="eastAsia" w:ascii="仿宋" w:hAnsi="仿宋" w:eastAsia="仿宋" w:cs="Tahoma"/>
          <w:sz w:val="32"/>
          <w:szCs w:val="32"/>
        </w:rPr>
        <w:t>。</w:t>
      </w:r>
    </w:p>
    <w:p>
      <w:pPr>
        <w:ind w:firstLine="600" w:firstLineChars="200"/>
        <w:rPr>
          <w:rFonts w:ascii="宋体" w:hAnsi="宋体"/>
          <w:sz w:val="30"/>
          <w:szCs w:val="30"/>
        </w:rPr>
      </w:pPr>
      <w:r>
        <w:rPr>
          <w:rFonts w:hint="eastAsia" w:ascii="宋体" w:hAnsi="宋体"/>
          <w:sz w:val="30"/>
          <w:szCs w:val="30"/>
        </w:rPr>
        <w:t>1. 公务用车购置及运行费</w:t>
      </w:r>
    </w:p>
    <w:p>
      <w:pPr>
        <w:ind w:firstLine="600" w:firstLineChars="200"/>
        <w:rPr>
          <w:rFonts w:ascii="宋体" w:hAnsi="宋体"/>
          <w:sz w:val="30"/>
          <w:szCs w:val="30"/>
        </w:rPr>
      </w:pPr>
      <w:r>
        <w:rPr>
          <w:rFonts w:hint="eastAsia" w:ascii="宋体" w:hAnsi="宋体"/>
          <w:sz w:val="30"/>
          <w:szCs w:val="30"/>
        </w:rPr>
        <w:t>①公务用车购置费0万元，较上年比较持平；</w:t>
      </w:r>
    </w:p>
    <w:p>
      <w:pPr>
        <w:ind w:firstLine="600" w:firstLineChars="200"/>
        <w:rPr>
          <w:rFonts w:ascii="宋体" w:hAnsi="宋体" w:eastAsia="宋体"/>
          <w:sz w:val="30"/>
          <w:szCs w:val="30"/>
          <w:lang w:eastAsia="zh-CN"/>
        </w:rPr>
      </w:pPr>
      <w:r>
        <w:rPr>
          <w:rFonts w:hint="eastAsia" w:ascii="宋体" w:hAnsi="宋体"/>
          <w:sz w:val="30"/>
          <w:szCs w:val="30"/>
        </w:rPr>
        <w:t>②公务用车运行维护经费</w:t>
      </w:r>
      <w:r>
        <w:rPr>
          <w:rFonts w:hint="eastAsia" w:ascii="宋体" w:hAnsi="宋体"/>
          <w:sz w:val="30"/>
          <w:szCs w:val="30"/>
          <w:lang w:eastAsia="zh-CN"/>
        </w:rPr>
        <w:t>2.33</w:t>
      </w:r>
      <w:r>
        <w:rPr>
          <w:rFonts w:hint="eastAsia" w:ascii="宋体" w:hAnsi="宋体"/>
          <w:sz w:val="30"/>
          <w:szCs w:val="30"/>
        </w:rPr>
        <w:t>万元，较上年</w:t>
      </w:r>
      <w:r>
        <w:rPr>
          <w:rFonts w:hint="eastAsia" w:ascii="宋体" w:hAnsi="宋体"/>
          <w:sz w:val="30"/>
          <w:szCs w:val="30"/>
          <w:lang w:eastAsia="zh-CN"/>
        </w:rPr>
        <w:t>下降0.33%</w:t>
      </w:r>
      <w:r>
        <w:rPr>
          <w:rFonts w:hint="eastAsia" w:ascii="宋体" w:hAnsi="宋体"/>
          <w:sz w:val="30"/>
          <w:szCs w:val="30"/>
        </w:rPr>
        <w:t>；</w:t>
      </w:r>
      <w:r>
        <w:rPr>
          <w:rFonts w:hint="eastAsia" w:ascii="宋体" w:hAnsi="宋体"/>
          <w:sz w:val="30"/>
          <w:szCs w:val="30"/>
          <w:lang w:eastAsia="zh-CN"/>
        </w:rPr>
        <w:t>原因是公务车维护。</w:t>
      </w:r>
    </w:p>
    <w:p>
      <w:pPr>
        <w:ind w:firstLine="600" w:firstLineChars="200"/>
        <w:rPr>
          <w:rFonts w:ascii="宋体" w:hAnsi="宋体"/>
          <w:sz w:val="30"/>
          <w:szCs w:val="30"/>
        </w:rPr>
      </w:pPr>
      <w:r>
        <w:rPr>
          <w:rFonts w:hint="eastAsia" w:ascii="宋体" w:hAnsi="宋体"/>
          <w:sz w:val="30"/>
          <w:szCs w:val="30"/>
        </w:rPr>
        <w:t>2.公务接待费0万元，较上年比较持平；</w:t>
      </w:r>
    </w:p>
    <w:p>
      <w:pPr>
        <w:ind w:firstLine="600" w:firstLineChars="200"/>
        <w:rPr>
          <w:rFonts w:ascii="黑体" w:hAnsi="黑体" w:eastAsia="宋体" w:cs="黑体"/>
          <w:sz w:val="32"/>
          <w:lang w:eastAsia="zh-CN"/>
        </w:rPr>
      </w:pPr>
      <w:r>
        <w:rPr>
          <w:rFonts w:hint="eastAsia" w:ascii="宋体" w:hAnsi="宋体"/>
          <w:sz w:val="30"/>
          <w:szCs w:val="30"/>
        </w:rPr>
        <w:t>3. 因公出国（境）费0万元，较上年比较持平</w:t>
      </w:r>
      <w:r>
        <w:rPr>
          <w:rFonts w:hint="eastAsia" w:ascii="宋体" w:hAnsi="宋体"/>
          <w:sz w:val="30"/>
          <w:szCs w:val="30"/>
          <w:lang w:eastAsia="zh-CN"/>
        </w:rPr>
        <w:t>。</w:t>
      </w:r>
    </w:p>
    <w:p>
      <w:pPr>
        <w:pStyle w:val="23"/>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hint="eastAsia" w:eastAsia="方正仿宋_GBK"/>
          <w:color w:val="000000"/>
          <w:sz w:val="28"/>
          <w:lang w:eastAsia="zh-CN"/>
        </w:rPr>
        <w:t>一.</w:t>
      </w:r>
      <w:r>
        <w:rPr>
          <w:rFonts w:eastAsia="方正仿宋_GBK"/>
          <w:color w:val="000000"/>
          <w:sz w:val="28"/>
        </w:rPr>
        <w:t>总体绩效目标</w:t>
      </w:r>
    </w:p>
    <w:p>
      <w:pPr>
        <w:pStyle w:val="24"/>
        <w:rPr>
          <w:rFonts w:eastAsiaTheme="minorEastAsia"/>
          <w:lang w:eastAsia="zh-CN"/>
        </w:rPr>
      </w:pPr>
      <w:r>
        <w:rPr>
          <w:rFonts w:hint="eastAsia" w:eastAsiaTheme="minorEastAsia"/>
          <w:lang w:eastAsia="zh-CN"/>
        </w:rPr>
        <w:t>根据上级精神，结合本区实际，确定检察工作方针，部署检察工</w:t>
      </w:r>
      <w:r>
        <w:rPr>
          <w:rFonts w:eastAsiaTheme="minorEastAsia"/>
          <w:lang w:eastAsia="zh-CN"/>
        </w:rPr>
        <w:t xml:space="preserve"> </w:t>
      </w:r>
      <w:r>
        <w:rPr>
          <w:rFonts w:hint="eastAsia" w:eastAsiaTheme="minorEastAsia"/>
          <w:lang w:eastAsia="zh-CN"/>
        </w:rPr>
        <w:t>作任务，制定检察工作规划。对刑事案件依法进行审查，批准或决定</w:t>
      </w:r>
      <w:r>
        <w:rPr>
          <w:rFonts w:eastAsiaTheme="minorEastAsia"/>
          <w:lang w:eastAsia="zh-CN"/>
        </w:rPr>
        <w:t xml:space="preserve"> </w:t>
      </w:r>
      <w:r>
        <w:rPr>
          <w:rFonts w:hint="eastAsia" w:eastAsiaTheme="minorEastAsia"/>
          <w:lang w:eastAsia="zh-CN"/>
        </w:rPr>
        <w:t>逮捕犯罪嫌疑人，提起公诉。对刑事诉讼、民事审判和行政诉讼实行</w:t>
      </w:r>
      <w:r>
        <w:rPr>
          <w:rFonts w:eastAsiaTheme="minorEastAsia"/>
          <w:lang w:eastAsia="zh-CN"/>
        </w:rPr>
        <w:t xml:space="preserve"> </w:t>
      </w:r>
      <w:r>
        <w:rPr>
          <w:rFonts w:hint="eastAsia" w:eastAsiaTheme="minorEastAsia"/>
          <w:lang w:eastAsia="zh-CN"/>
        </w:rPr>
        <w:t>法律监督。对执行机关执行刑罚的活动是否合法实行监督。对地方人</w:t>
      </w:r>
      <w:r>
        <w:rPr>
          <w:rFonts w:eastAsiaTheme="minorEastAsia"/>
          <w:lang w:eastAsia="zh-CN"/>
        </w:rPr>
        <w:t xml:space="preserve"> </w:t>
      </w:r>
      <w:r>
        <w:rPr>
          <w:rFonts w:hint="eastAsia" w:eastAsiaTheme="minorEastAsia"/>
          <w:lang w:eastAsia="zh-CN"/>
        </w:rPr>
        <w:t>民法院确有错误的判决或裁定，依法提起（请）</w:t>
      </w:r>
      <w:r>
        <w:rPr>
          <w:rFonts w:eastAsiaTheme="minorEastAsia"/>
          <w:lang w:eastAsia="zh-CN"/>
        </w:rPr>
        <w:t xml:space="preserve"> </w:t>
      </w:r>
      <w:r>
        <w:rPr>
          <w:rFonts w:hint="eastAsia" w:eastAsiaTheme="minorEastAsia"/>
          <w:lang w:eastAsia="zh-CN"/>
        </w:rPr>
        <w:t>抗诉。受理单位和个</w:t>
      </w:r>
      <w:r>
        <w:rPr>
          <w:rFonts w:eastAsiaTheme="minorEastAsia"/>
          <w:lang w:eastAsia="zh-CN"/>
        </w:rPr>
        <w:t xml:space="preserve"> </w:t>
      </w:r>
      <w:r>
        <w:rPr>
          <w:rFonts w:hint="eastAsia" w:eastAsiaTheme="minorEastAsia"/>
          <w:lang w:eastAsia="zh-CN"/>
        </w:rPr>
        <w:t>人的举报、控告、申诉、以及犯罪嫌疑人的自首。参与全区的社会治</w:t>
      </w:r>
      <w:r>
        <w:rPr>
          <w:rFonts w:eastAsiaTheme="minorEastAsia"/>
          <w:lang w:eastAsia="zh-CN"/>
        </w:rPr>
        <w:t xml:space="preserve"> </w:t>
      </w:r>
      <w:r>
        <w:rPr>
          <w:rFonts w:hint="eastAsia" w:eastAsiaTheme="minorEastAsia"/>
          <w:lang w:eastAsia="zh-CN"/>
        </w:rPr>
        <w:t>安综合治理工作。负责检察队伍建设和思想政治工作；</w:t>
      </w:r>
      <w:r>
        <w:rPr>
          <w:rFonts w:eastAsiaTheme="minorEastAsia"/>
          <w:lang w:eastAsia="zh-CN"/>
        </w:rPr>
        <w:t xml:space="preserve"> </w:t>
      </w:r>
      <w:r>
        <w:rPr>
          <w:rFonts w:hint="eastAsia" w:eastAsiaTheme="minorEastAsia"/>
          <w:lang w:eastAsia="zh-CN"/>
        </w:rPr>
        <w:t>依法管理检察</w:t>
      </w:r>
      <w:r>
        <w:rPr>
          <w:rFonts w:eastAsiaTheme="minorEastAsia"/>
          <w:lang w:eastAsia="zh-CN"/>
        </w:rPr>
        <w:t xml:space="preserve"> </w:t>
      </w:r>
      <w:r>
        <w:rPr>
          <w:rFonts w:hint="eastAsia" w:eastAsiaTheme="minorEastAsia"/>
          <w:lang w:eastAsia="zh-CN"/>
        </w:rPr>
        <w:t>官及其他检察人员。规划和管理好本机关的财务装备工作。办理上级</w:t>
      </w:r>
      <w:r>
        <w:rPr>
          <w:rFonts w:eastAsiaTheme="minorEastAsia"/>
          <w:lang w:eastAsia="zh-CN"/>
        </w:rPr>
        <w:t xml:space="preserve"> </w:t>
      </w:r>
      <w:r>
        <w:rPr>
          <w:rFonts w:hint="eastAsia" w:eastAsiaTheme="minorEastAsia"/>
          <w:lang w:eastAsia="zh-CN"/>
        </w:rPr>
        <w:t>检察机关和区党工委、管委会交办的事项及应由本院承办的其他工作。</w:t>
      </w:r>
    </w:p>
    <w:p>
      <w:pPr>
        <w:pStyle w:val="24"/>
        <w:rPr>
          <w:rFonts w:eastAsiaTheme="minorEastAsia"/>
          <w:lang w:eastAsia="zh-CN"/>
        </w:rPr>
      </w:pPr>
    </w:p>
    <w:p>
      <w:pPr>
        <w:spacing w:line="500" w:lineRule="exact"/>
        <w:ind w:firstLine="560"/>
      </w:pPr>
      <w:r>
        <w:rPr>
          <w:rFonts w:eastAsia="方正仿宋_GBK"/>
          <w:color w:val="000000"/>
          <w:sz w:val="28"/>
        </w:rPr>
        <w:t>（二）分项绩效目标</w:t>
      </w:r>
    </w:p>
    <w:p>
      <w:pPr>
        <w:pStyle w:val="24"/>
        <w:rPr>
          <w:rFonts w:eastAsiaTheme="minorEastAsia"/>
          <w:lang w:eastAsia="zh-CN"/>
        </w:rPr>
      </w:pPr>
      <w:r>
        <w:rPr>
          <w:rFonts w:hint="eastAsia" w:eastAsiaTheme="minorEastAsia"/>
          <w:lang w:eastAsia="zh-CN"/>
        </w:rPr>
        <w:t>1.加强预算执行管理</w:t>
      </w:r>
    </w:p>
    <w:p>
      <w:pPr>
        <w:pStyle w:val="24"/>
        <w:rPr>
          <w:rFonts w:eastAsiaTheme="minorEastAsia"/>
          <w:lang w:eastAsia="zh-CN"/>
        </w:rPr>
      </w:pPr>
      <w:r>
        <w:rPr>
          <w:rFonts w:hint="eastAsia" w:eastAsiaTheme="minorEastAsia"/>
          <w:lang w:eastAsia="zh-CN"/>
        </w:rPr>
        <w:t>绩效目标：</w:t>
      </w:r>
      <w:r>
        <w:rPr>
          <w:rFonts w:eastAsiaTheme="minorEastAsia"/>
          <w:lang w:eastAsia="zh-CN"/>
        </w:rPr>
        <w:t xml:space="preserve"> </w:t>
      </w:r>
      <w:r>
        <w:rPr>
          <w:rFonts w:hint="eastAsia" w:eastAsiaTheme="minorEastAsia"/>
          <w:lang w:eastAsia="zh-CN"/>
        </w:rPr>
        <w:t>厉行节约，压减支出，统筹资金保工资、保运转。强</w:t>
      </w:r>
      <w:r>
        <w:rPr>
          <w:rFonts w:eastAsiaTheme="minorEastAsia"/>
          <w:lang w:eastAsia="zh-CN"/>
        </w:rPr>
        <w:t xml:space="preserve"> </w:t>
      </w:r>
      <w:r>
        <w:rPr>
          <w:rFonts w:hint="eastAsia" w:eastAsiaTheme="minorEastAsia"/>
          <w:lang w:eastAsia="zh-CN"/>
        </w:rPr>
        <w:t>化部门支出责任，确保各项重点支出及时高效。</w:t>
      </w:r>
    </w:p>
    <w:p>
      <w:pPr>
        <w:pStyle w:val="24"/>
        <w:rPr>
          <w:rFonts w:eastAsiaTheme="minorEastAsia"/>
          <w:lang w:eastAsia="zh-CN"/>
        </w:rPr>
      </w:pPr>
      <w:r>
        <w:rPr>
          <w:rFonts w:hint="eastAsia" w:eastAsiaTheme="minorEastAsia"/>
          <w:lang w:eastAsia="zh-CN"/>
        </w:rPr>
        <w:t>绩效指标：</w:t>
      </w:r>
      <w:r>
        <w:rPr>
          <w:rFonts w:eastAsiaTheme="minorEastAsia"/>
          <w:lang w:eastAsia="zh-CN"/>
        </w:rPr>
        <w:t xml:space="preserve"> </w:t>
      </w:r>
      <w:r>
        <w:rPr>
          <w:rFonts w:hint="eastAsia" w:eastAsiaTheme="minorEastAsia"/>
          <w:lang w:eastAsia="zh-CN"/>
        </w:rPr>
        <w:t>三公经费同比减少</w:t>
      </w:r>
      <w:r>
        <w:rPr>
          <w:rFonts w:eastAsiaTheme="minorEastAsia"/>
          <w:lang w:eastAsia="zh-CN"/>
        </w:rPr>
        <w:t>5%</w:t>
      </w:r>
    </w:p>
    <w:p>
      <w:pPr>
        <w:pStyle w:val="24"/>
        <w:rPr>
          <w:rFonts w:eastAsiaTheme="minorEastAsia"/>
          <w:lang w:eastAsia="zh-CN"/>
        </w:rPr>
      </w:pPr>
      <w:r>
        <w:rPr>
          <w:rFonts w:hint="eastAsia" w:eastAsiaTheme="minorEastAsia"/>
          <w:lang w:eastAsia="zh-CN"/>
        </w:rPr>
        <w:t>2.打击犯罪，维护稳定</w:t>
      </w:r>
    </w:p>
    <w:p>
      <w:pPr>
        <w:pStyle w:val="24"/>
        <w:rPr>
          <w:rFonts w:eastAsiaTheme="minorEastAsia"/>
          <w:lang w:eastAsia="zh-CN"/>
        </w:rPr>
      </w:pPr>
      <w:r>
        <w:rPr>
          <w:rFonts w:hint="eastAsia" w:eastAsiaTheme="minorEastAsia"/>
          <w:lang w:eastAsia="zh-CN"/>
        </w:rPr>
        <w:t>绩效目标：</w:t>
      </w:r>
      <w:r>
        <w:rPr>
          <w:rFonts w:eastAsiaTheme="minorEastAsia"/>
          <w:lang w:eastAsia="zh-CN"/>
        </w:rPr>
        <w:t xml:space="preserve"> </w:t>
      </w:r>
      <w:r>
        <w:rPr>
          <w:rFonts w:hint="eastAsia" w:eastAsiaTheme="minorEastAsia"/>
          <w:lang w:eastAsia="zh-CN"/>
        </w:rPr>
        <w:t>深入开展扫黑除恶专项斗争，深挖黑恶势力背后的关系网，</w:t>
      </w:r>
      <w:r>
        <w:rPr>
          <w:rFonts w:eastAsiaTheme="minorEastAsia"/>
          <w:lang w:eastAsia="zh-CN"/>
        </w:rPr>
        <w:t xml:space="preserve"> </w:t>
      </w:r>
      <w:r>
        <w:rPr>
          <w:rFonts w:hint="eastAsia" w:eastAsiaTheme="minorEastAsia"/>
          <w:lang w:eastAsia="zh-CN"/>
        </w:rPr>
        <w:t>查找涉黑涉恶线索；</w:t>
      </w:r>
      <w:r>
        <w:rPr>
          <w:rFonts w:eastAsiaTheme="minorEastAsia"/>
          <w:lang w:eastAsia="zh-CN"/>
        </w:rPr>
        <w:t xml:space="preserve"> </w:t>
      </w:r>
      <w:r>
        <w:rPr>
          <w:rFonts w:hint="eastAsia" w:eastAsiaTheme="minorEastAsia"/>
          <w:lang w:eastAsia="zh-CN"/>
        </w:rPr>
        <w:t>办理审查逮捕案件、审查起诉案件；</w:t>
      </w:r>
      <w:r>
        <w:rPr>
          <w:rFonts w:eastAsiaTheme="minorEastAsia"/>
          <w:lang w:eastAsia="zh-CN"/>
        </w:rPr>
        <w:t xml:space="preserve"> </w:t>
      </w:r>
      <w:r>
        <w:rPr>
          <w:rFonts w:hint="eastAsia" w:eastAsiaTheme="minorEastAsia"/>
          <w:lang w:eastAsia="zh-CN"/>
        </w:rPr>
        <w:t>开展公益诉</w:t>
      </w:r>
      <w:r>
        <w:rPr>
          <w:rFonts w:eastAsiaTheme="minorEastAsia"/>
          <w:lang w:eastAsia="zh-CN"/>
        </w:rPr>
        <w:t xml:space="preserve"> </w:t>
      </w:r>
      <w:r>
        <w:rPr>
          <w:rFonts w:hint="eastAsia" w:eastAsiaTheme="minorEastAsia"/>
          <w:lang w:eastAsia="zh-CN"/>
        </w:rPr>
        <w:t>讼工作。</w:t>
      </w:r>
    </w:p>
    <w:p>
      <w:pPr>
        <w:pStyle w:val="24"/>
        <w:rPr>
          <w:rFonts w:eastAsiaTheme="minorEastAsia"/>
          <w:lang w:eastAsia="zh-CN"/>
        </w:rPr>
      </w:pPr>
      <w:r>
        <w:rPr>
          <w:rFonts w:hint="eastAsia" w:eastAsiaTheme="minorEastAsia"/>
          <w:lang w:eastAsia="zh-CN"/>
        </w:rPr>
        <w:t>绩效指标：</w:t>
      </w:r>
      <w:r>
        <w:rPr>
          <w:rFonts w:eastAsiaTheme="minorEastAsia"/>
          <w:lang w:eastAsia="zh-CN"/>
        </w:rPr>
        <w:t xml:space="preserve"> </w:t>
      </w:r>
      <w:r>
        <w:rPr>
          <w:rFonts w:hint="eastAsia" w:eastAsiaTheme="minorEastAsia"/>
          <w:lang w:eastAsia="zh-CN"/>
        </w:rPr>
        <w:t>检察工作完成质量</w:t>
      </w:r>
      <w:r>
        <w:rPr>
          <w:rFonts w:eastAsiaTheme="minorEastAsia"/>
          <w:lang w:eastAsia="zh-CN"/>
        </w:rPr>
        <w:t>≥95%</w:t>
      </w:r>
    </w:p>
    <w:p>
      <w:pPr>
        <w:pStyle w:val="24"/>
        <w:rPr>
          <w:rFonts w:eastAsiaTheme="minorEastAsia"/>
          <w:lang w:eastAsia="zh-CN"/>
        </w:rPr>
      </w:pPr>
      <w:r>
        <w:rPr>
          <w:rFonts w:hint="eastAsia" w:eastAsiaTheme="minorEastAsia"/>
          <w:lang w:eastAsia="zh-CN"/>
        </w:rPr>
        <w:t>3.强化法律监督，完善新格局</w:t>
      </w:r>
    </w:p>
    <w:p>
      <w:pPr>
        <w:pStyle w:val="24"/>
        <w:rPr>
          <w:rFonts w:eastAsiaTheme="minorEastAsia"/>
          <w:lang w:eastAsia="zh-CN"/>
        </w:rPr>
      </w:pPr>
      <w:r>
        <w:rPr>
          <w:rFonts w:hint="eastAsia" w:eastAsiaTheme="minorEastAsia"/>
          <w:lang w:eastAsia="zh-CN"/>
        </w:rPr>
        <w:t>绩效目标：</w:t>
      </w:r>
      <w:r>
        <w:rPr>
          <w:rFonts w:eastAsiaTheme="minorEastAsia"/>
          <w:lang w:eastAsia="zh-CN"/>
        </w:rPr>
        <w:t xml:space="preserve"> </w:t>
      </w:r>
      <w:r>
        <w:rPr>
          <w:rFonts w:hint="eastAsia" w:eastAsiaTheme="minorEastAsia"/>
          <w:lang w:eastAsia="zh-CN"/>
        </w:rPr>
        <w:t>坚持以办案为中心，进一步做好刑事检察、做强民事</w:t>
      </w:r>
      <w:r>
        <w:rPr>
          <w:rFonts w:eastAsiaTheme="minorEastAsia"/>
          <w:lang w:eastAsia="zh-CN"/>
        </w:rPr>
        <w:t xml:space="preserve"> </w:t>
      </w:r>
      <w:r>
        <w:rPr>
          <w:rFonts w:hint="eastAsia" w:eastAsiaTheme="minorEastAsia"/>
          <w:lang w:eastAsia="zh-CN"/>
        </w:rPr>
        <w:t>检察、做实行政检察、做优公益诉讼工作，推动检察工作全面协调发</w:t>
      </w:r>
      <w:r>
        <w:rPr>
          <w:rFonts w:eastAsiaTheme="minorEastAsia"/>
          <w:lang w:eastAsia="zh-CN"/>
        </w:rPr>
        <w:t xml:space="preserve"> </w:t>
      </w:r>
      <w:r>
        <w:rPr>
          <w:rFonts w:hint="eastAsia" w:eastAsiaTheme="minorEastAsia"/>
          <w:lang w:eastAsia="zh-CN"/>
        </w:rPr>
        <w:t>展。</w:t>
      </w:r>
    </w:p>
    <w:p>
      <w:pPr>
        <w:pStyle w:val="24"/>
        <w:rPr>
          <w:rFonts w:eastAsiaTheme="minorEastAsia"/>
          <w:lang w:eastAsia="zh-CN"/>
        </w:rPr>
      </w:pPr>
      <w:r>
        <w:rPr>
          <w:rFonts w:hint="eastAsia" w:eastAsiaTheme="minorEastAsia"/>
          <w:lang w:eastAsia="zh-CN"/>
        </w:rPr>
        <w:t>绩效指标：</w:t>
      </w:r>
      <w:r>
        <w:rPr>
          <w:rFonts w:eastAsiaTheme="minorEastAsia"/>
          <w:lang w:eastAsia="zh-CN"/>
        </w:rPr>
        <w:t xml:space="preserve"> </w:t>
      </w:r>
      <w:r>
        <w:rPr>
          <w:rFonts w:hint="eastAsia" w:eastAsiaTheme="minorEastAsia"/>
          <w:lang w:eastAsia="zh-CN"/>
        </w:rPr>
        <w:t>法律监督率</w:t>
      </w:r>
      <w:r>
        <w:rPr>
          <w:rFonts w:eastAsiaTheme="minorEastAsia"/>
          <w:lang w:eastAsia="zh-CN"/>
        </w:rPr>
        <w:t>≥80%</w:t>
      </w:r>
    </w:p>
    <w:p>
      <w:pPr>
        <w:pStyle w:val="24"/>
        <w:rPr>
          <w:rFonts w:eastAsiaTheme="minorEastAsia"/>
          <w:lang w:eastAsia="zh-CN"/>
        </w:rPr>
      </w:pPr>
      <w:r>
        <w:rPr>
          <w:rFonts w:hint="eastAsia" w:eastAsiaTheme="minorEastAsia"/>
          <w:lang w:eastAsia="zh-CN"/>
        </w:rPr>
        <w:t>4.司法救助率</w:t>
      </w:r>
    </w:p>
    <w:p>
      <w:pPr>
        <w:pStyle w:val="24"/>
        <w:rPr>
          <w:rFonts w:eastAsiaTheme="minorEastAsia"/>
          <w:lang w:eastAsia="zh-CN"/>
        </w:rPr>
      </w:pPr>
      <w:r>
        <w:rPr>
          <w:rFonts w:hint="eastAsia" w:eastAsiaTheme="minorEastAsia"/>
          <w:lang w:eastAsia="zh-CN"/>
        </w:rPr>
        <w:t>绩效目标：</w:t>
      </w:r>
      <w:r>
        <w:rPr>
          <w:rFonts w:eastAsiaTheme="minorEastAsia"/>
          <w:lang w:eastAsia="zh-CN"/>
        </w:rPr>
        <w:t xml:space="preserve"> </w:t>
      </w:r>
      <w:r>
        <w:rPr>
          <w:rFonts w:hint="eastAsia" w:eastAsiaTheme="minorEastAsia"/>
          <w:lang w:eastAsia="zh-CN"/>
        </w:rPr>
        <w:t>对遭受犯罪侵害或民事侵权，无法通过诉讼获得有效</w:t>
      </w:r>
      <w:r>
        <w:rPr>
          <w:rFonts w:eastAsiaTheme="minorEastAsia"/>
          <w:lang w:eastAsia="zh-CN"/>
        </w:rPr>
        <w:t xml:space="preserve"> </w:t>
      </w:r>
      <w:r>
        <w:rPr>
          <w:rFonts w:hint="eastAsia" w:eastAsiaTheme="minorEastAsia"/>
          <w:lang w:eastAsia="zh-CN"/>
        </w:rPr>
        <w:t>赔偿的当事人，采取辅助性救济措施。</w:t>
      </w:r>
    </w:p>
    <w:p>
      <w:pPr>
        <w:pStyle w:val="24"/>
        <w:rPr>
          <w:rFonts w:eastAsiaTheme="minorEastAsia"/>
          <w:lang w:eastAsia="zh-CN"/>
        </w:rPr>
      </w:pPr>
      <w:r>
        <w:rPr>
          <w:rFonts w:hint="eastAsia" w:eastAsiaTheme="minorEastAsia"/>
          <w:lang w:eastAsia="zh-CN"/>
        </w:rPr>
        <w:t>绩效指标：</w:t>
      </w:r>
      <w:r>
        <w:rPr>
          <w:rFonts w:eastAsiaTheme="minorEastAsia"/>
          <w:lang w:eastAsia="zh-CN"/>
        </w:rPr>
        <w:t xml:space="preserve"> </w:t>
      </w:r>
      <w:r>
        <w:rPr>
          <w:rFonts w:hint="eastAsia" w:eastAsiaTheme="minorEastAsia"/>
          <w:lang w:eastAsia="zh-CN"/>
        </w:rPr>
        <w:t>司法救助率提高</w:t>
      </w:r>
      <w:r>
        <w:rPr>
          <w:rFonts w:eastAsiaTheme="minorEastAsia"/>
          <w:lang w:eastAsia="zh-CN"/>
        </w:rPr>
        <w:t>15%</w:t>
      </w:r>
    </w:p>
    <w:p>
      <w:pPr>
        <w:pStyle w:val="24"/>
        <w:rPr>
          <w:rFonts w:eastAsiaTheme="minorEastAsia"/>
          <w:lang w:eastAsia="zh-CN"/>
        </w:rPr>
      </w:pPr>
      <w:r>
        <w:rPr>
          <w:rFonts w:hint="eastAsia" w:eastAsiaTheme="minorEastAsia"/>
          <w:lang w:eastAsia="zh-CN"/>
        </w:rPr>
        <w:t>5.当事人对民事行政申请监督案件满意度</w:t>
      </w:r>
    </w:p>
    <w:p>
      <w:pPr>
        <w:pStyle w:val="24"/>
        <w:rPr>
          <w:rFonts w:eastAsiaTheme="minorEastAsia"/>
          <w:lang w:eastAsia="zh-CN"/>
        </w:rPr>
      </w:pPr>
      <w:r>
        <w:rPr>
          <w:rFonts w:hint="eastAsia" w:eastAsiaTheme="minorEastAsia"/>
          <w:lang w:eastAsia="zh-CN"/>
        </w:rPr>
        <w:t>绩效目标：</w:t>
      </w:r>
      <w:r>
        <w:rPr>
          <w:rFonts w:eastAsiaTheme="minorEastAsia"/>
          <w:lang w:eastAsia="zh-CN"/>
        </w:rPr>
        <w:t xml:space="preserve"> </w:t>
      </w:r>
      <w:r>
        <w:rPr>
          <w:rFonts w:hint="eastAsia" w:eastAsiaTheme="minorEastAsia"/>
          <w:lang w:eastAsia="zh-CN"/>
        </w:rPr>
        <w:t>案件完结后当事人的满意程度得到提升</w:t>
      </w:r>
    </w:p>
    <w:p>
      <w:pPr>
        <w:pStyle w:val="24"/>
        <w:rPr>
          <w:rFonts w:eastAsiaTheme="minorEastAsia"/>
          <w:lang w:eastAsia="zh-CN"/>
        </w:rPr>
      </w:pPr>
      <w:r>
        <w:rPr>
          <w:rFonts w:hint="eastAsia" w:eastAsiaTheme="minorEastAsia"/>
          <w:lang w:eastAsia="zh-CN"/>
        </w:rPr>
        <w:t>绩效指标：</w:t>
      </w:r>
      <w:r>
        <w:rPr>
          <w:rFonts w:eastAsiaTheme="minorEastAsia"/>
          <w:lang w:eastAsia="zh-CN"/>
        </w:rPr>
        <w:t xml:space="preserve"> </w:t>
      </w:r>
      <w:r>
        <w:rPr>
          <w:rFonts w:hint="eastAsia" w:eastAsiaTheme="minorEastAsia"/>
          <w:lang w:eastAsia="zh-CN"/>
        </w:rPr>
        <w:t>当事人满意度得到提升</w:t>
      </w:r>
    </w:p>
    <w:p>
      <w:pPr>
        <w:pStyle w:val="25"/>
      </w:pPr>
    </w:p>
    <w:p>
      <w:pPr>
        <w:spacing w:line="500" w:lineRule="exact"/>
        <w:ind w:firstLine="560"/>
      </w:pPr>
      <w:r>
        <w:rPr>
          <w:rFonts w:eastAsia="方正仿宋_GBK"/>
          <w:color w:val="000000"/>
          <w:sz w:val="28"/>
        </w:rPr>
        <w:t>（三）工作保障措施</w:t>
      </w:r>
    </w:p>
    <w:p>
      <w:pPr>
        <w:pStyle w:val="6"/>
        <w:shd w:val="clear" w:color="auto" w:fill="FFFFFF"/>
        <w:spacing w:before="132" w:beforeAutospacing="0" w:after="378" w:afterAutospacing="0"/>
        <w:ind w:firstLine="480" w:firstLineChars="200"/>
        <w:rPr>
          <w:rFonts w:ascii="Arial" w:hAnsi="Arial" w:eastAsia="Arial" w:cs="Arial"/>
          <w:color w:val="191919"/>
        </w:rPr>
      </w:pPr>
      <w:r>
        <w:rPr>
          <w:rFonts w:ascii="Arial" w:hAnsi="Arial" w:eastAsia="Arial" w:cs="Arial"/>
          <w:color w:val="191919"/>
          <w:shd w:val="clear" w:color="auto" w:fill="FFFFFF"/>
        </w:rPr>
        <w:t>一是要根据序时进度，合理安排第四季度的经费开支，以确保资金使用合理合规，按时完成经费支出任务；</w:t>
      </w:r>
    </w:p>
    <w:p>
      <w:pPr>
        <w:pStyle w:val="6"/>
        <w:shd w:val="clear" w:color="auto" w:fill="FFFFFF"/>
        <w:spacing w:before="132" w:beforeAutospacing="0" w:after="378" w:afterAutospacing="0"/>
        <w:ind w:firstLine="480" w:firstLineChars="200"/>
        <w:rPr>
          <w:rFonts w:eastAsia="宋体"/>
          <w:lang w:eastAsia="zh-CN"/>
        </w:rPr>
      </w:pPr>
      <w:r>
        <w:rPr>
          <w:rFonts w:ascii="Arial" w:hAnsi="Arial" w:eastAsia="Arial" w:cs="Arial"/>
          <w:color w:val="191919"/>
          <w:shd w:val="clear" w:color="auto" w:fill="FFFFFF"/>
        </w:rPr>
        <w:t>二是要结合业务工作实际，将项目支出和基本支出分类记账，以确保经费去向明确</w:t>
      </w:r>
      <w:r>
        <w:rPr>
          <w:rFonts w:hint="eastAsia" w:ascii="Arial" w:hAnsi="Arial" w:eastAsia="宋体" w:cs="Arial"/>
          <w:color w:val="191919"/>
          <w:shd w:val="clear" w:color="auto" w:fill="FFFFFF"/>
          <w:lang w:eastAsia="zh-CN"/>
        </w:rPr>
        <w:t>。</w:t>
      </w: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lang w:eastAsia="zh-CN"/>
        </w:rPr>
      </w:pPr>
      <w:r>
        <w:rPr>
          <w:rFonts w:hint="eastAsia" w:ascii="方正楷体_GBK" w:hAnsi="方正楷体_GBK" w:eastAsia="方正楷体_GBK" w:cs="方正楷体_GBK"/>
          <w:b/>
          <w:color w:val="000000"/>
          <w:sz w:val="32"/>
          <w:lang w:eastAsia="zh-CN"/>
        </w:rPr>
        <w:t>无</w:t>
      </w:r>
    </w:p>
    <w:p>
      <w:pPr>
        <w:pStyle w:val="27"/>
        <w:ind w:firstLine="640"/>
      </w:pPr>
      <w:r>
        <w:rPr>
          <w:rFonts w:ascii="方正楷体_GBK" w:hAnsi="方正楷体_GBK" w:eastAsia="方正楷体_GBK" w:cs="方正楷体_GBK"/>
          <w:b/>
          <w:color w:val="000000"/>
          <w:sz w:val="32"/>
        </w:rPr>
        <w:t>第三部分  预算项目绩效目标</w:t>
      </w:r>
    </w:p>
    <w:p>
      <w:pPr>
        <w:pStyle w:val="27"/>
        <w:ind w:firstLine="560"/>
      </w:pPr>
      <w:r>
        <w:rPr>
          <w:rFonts w:ascii="方正仿宋_GBK" w:hAnsi="方正仿宋_GBK" w:eastAsia="方正仿宋_GBK" w:cs="方正仿宋_GBK"/>
          <w:b/>
          <w:color w:val="000000"/>
          <w:sz w:val="28"/>
        </w:rPr>
        <w:t>1、矫正经费、安置帮教经费、普法经费、法律援助经费绩效目标表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1.确保按序时进度完成各项工作目标</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办理法律援助案件</w:t>
            </w:r>
          </w:p>
        </w:tc>
        <w:tc>
          <w:tcPr>
            <w:tcW w:w="2835" w:type="dxa"/>
            <w:vAlign w:val="center"/>
          </w:tcPr>
          <w:p>
            <w:pPr>
              <w:pStyle w:val="29"/>
            </w:pPr>
            <w:r>
              <w:t>法律援助率</w:t>
            </w:r>
          </w:p>
        </w:tc>
        <w:tc>
          <w:tcPr>
            <w:tcW w:w="2551" w:type="dxa"/>
            <w:vAlign w:val="center"/>
          </w:tcPr>
          <w:p>
            <w:pPr>
              <w:pStyle w:val="29"/>
            </w:pPr>
            <w:r>
              <w:t>≥90≥90%</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普法宣传</w:t>
            </w:r>
          </w:p>
        </w:tc>
        <w:tc>
          <w:tcPr>
            <w:tcW w:w="2835" w:type="dxa"/>
            <w:vAlign w:val="center"/>
          </w:tcPr>
          <w:p>
            <w:pPr>
              <w:pStyle w:val="29"/>
            </w:pPr>
            <w:r>
              <w:t>普法宣传率</w:t>
            </w:r>
          </w:p>
        </w:tc>
        <w:tc>
          <w:tcPr>
            <w:tcW w:w="2551" w:type="dxa"/>
            <w:vAlign w:val="center"/>
          </w:tcPr>
          <w:p>
            <w:pPr>
              <w:pStyle w:val="29"/>
            </w:pPr>
            <w:r>
              <w:t>≥1001</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进一步深化安置帮教工作</w:t>
            </w:r>
          </w:p>
        </w:tc>
        <w:tc>
          <w:tcPr>
            <w:tcW w:w="2835" w:type="dxa"/>
            <w:vAlign w:val="center"/>
          </w:tcPr>
          <w:p>
            <w:pPr>
              <w:pStyle w:val="29"/>
            </w:pPr>
            <w:r>
              <w:t>完成时限</w:t>
            </w:r>
          </w:p>
        </w:tc>
        <w:tc>
          <w:tcPr>
            <w:tcW w:w="2551" w:type="dxa"/>
            <w:vAlign w:val="center"/>
          </w:tcPr>
          <w:p>
            <w:pPr>
              <w:pStyle w:val="29"/>
            </w:pPr>
            <w:r>
              <w:t>≥1002022年12月31日</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≥10042000</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效益指标</w:t>
            </w:r>
          </w:p>
        </w:tc>
        <w:tc>
          <w:tcPr>
            <w:tcW w:w="2268" w:type="dxa"/>
            <w:vAlign w:val="center"/>
          </w:tcPr>
          <w:p>
            <w:pPr>
              <w:pStyle w:val="29"/>
            </w:pPr>
            <w:r>
              <w:t>经济效益指标</w:t>
            </w:r>
          </w:p>
        </w:tc>
        <w:tc>
          <w:tcPr>
            <w:tcW w:w="2835" w:type="dxa"/>
            <w:vAlign w:val="center"/>
          </w:tcPr>
          <w:p>
            <w:pPr>
              <w:pStyle w:val="29"/>
            </w:pPr>
            <w:r>
              <w:t>为群众办好事、办实事</w:t>
            </w:r>
          </w:p>
        </w:tc>
        <w:tc>
          <w:tcPr>
            <w:tcW w:w="2835" w:type="dxa"/>
            <w:vAlign w:val="center"/>
          </w:tcPr>
          <w:p>
            <w:pPr>
              <w:pStyle w:val="29"/>
            </w:pPr>
            <w:r>
              <w:t>提高全区人民法律意识</w:t>
            </w:r>
          </w:p>
        </w:tc>
        <w:tc>
          <w:tcPr>
            <w:tcW w:w="2551" w:type="dxa"/>
            <w:vAlign w:val="center"/>
          </w:tcPr>
          <w:p>
            <w:pPr>
              <w:pStyle w:val="29"/>
            </w:pPr>
            <w:r>
              <w:t>≥1001</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社会效益指标</w:t>
            </w:r>
          </w:p>
        </w:tc>
        <w:tc>
          <w:tcPr>
            <w:tcW w:w="2835" w:type="dxa"/>
            <w:vAlign w:val="center"/>
          </w:tcPr>
          <w:p>
            <w:pPr>
              <w:pStyle w:val="29"/>
            </w:pPr>
            <w:r>
              <w:t>保障调解工作顺利进行</w:t>
            </w:r>
          </w:p>
        </w:tc>
        <w:tc>
          <w:tcPr>
            <w:tcW w:w="2835" w:type="dxa"/>
            <w:vAlign w:val="center"/>
          </w:tcPr>
          <w:p>
            <w:pPr>
              <w:pStyle w:val="29"/>
            </w:pPr>
            <w:r>
              <w:t>最大限度降低违法犯罪率</w:t>
            </w:r>
          </w:p>
        </w:tc>
        <w:tc>
          <w:tcPr>
            <w:tcW w:w="2551" w:type="dxa"/>
            <w:vAlign w:val="center"/>
          </w:tcPr>
          <w:p>
            <w:pPr>
              <w:pStyle w:val="29"/>
            </w:pPr>
            <w:r>
              <w:t>≥100≤0.25%</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可持续影响指标</w:t>
            </w:r>
          </w:p>
        </w:tc>
        <w:tc>
          <w:tcPr>
            <w:tcW w:w="2835" w:type="dxa"/>
            <w:vAlign w:val="center"/>
          </w:tcPr>
          <w:p>
            <w:pPr>
              <w:pStyle w:val="29"/>
            </w:pPr>
            <w:r>
              <w:t>长期保障工作平稳进行</w:t>
            </w:r>
          </w:p>
        </w:tc>
        <w:tc>
          <w:tcPr>
            <w:tcW w:w="2835" w:type="dxa"/>
            <w:vAlign w:val="center"/>
          </w:tcPr>
          <w:p>
            <w:pPr>
              <w:pStyle w:val="29"/>
            </w:pPr>
            <w:r>
              <w:t>长期保障工作平稳进行</w:t>
            </w:r>
          </w:p>
        </w:tc>
        <w:tc>
          <w:tcPr>
            <w:tcW w:w="2551" w:type="dxa"/>
            <w:vAlign w:val="center"/>
          </w:tcPr>
          <w:p>
            <w:pPr>
              <w:pStyle w:val="29"/>
            </w:pPr>
            <w:r>
              <w:t>≥1001</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社区人民群众满意度</w:t>
            </w:r>
          </w:p>
        </w:tc>
        <w:tc>
          <w:tcPr>
            <w:tcW w:w="2835" w:type="dxa"/>
            <w:vAlign w:val="center"/>
          </w:tcPr>
          <w:p>
            <w:pPr>
              <w:pStyle w:val="29"/>
            </w:pPr>
            <w:r>
              <w:t>社区人民群众满意度</w:t>
            </w:r>
          </w:p>
        </w:tc>
        <w:tc>
          <w:tcPr>
            <w:tcW w:w="2551" w:type="dxa"/>
            <w:vAlign w:val="center"/>
          </w:tcPr>
          <w:p>
            <w:pPr>
              <w:pStyle w:val="29"/>
            </w:pPr>
            <w:r>
              <w:t>≥100大于等于90%</w:t>
            </w:r>
          </w:p>
        </w:tc>
        <w:tc>
          <w:tcPr>
            <w:tcW w:w="2268" w:type="dxa"/>
            <w:vAlign w:val="center"/>
          </w:tcPr>
          <w:p>
            <w:pPr>
              <w:pStyle w:val="29"/>
            </w:pPr>
            <w:r>
              <w:t>年度计划</w:t>
            </w:r>
          </w:p>
        </w:tc>
      </w:tr>
    </w:tbl>
    <w:p>
      <w:pPr>
        <w:pStyle w:val="27"/>
      </w:pPr>
    </w:p>
    <w:p>
      <w:pPr>
        <w:pStyle w:val="27"/>
        <w:ind w:firstLine="560"/>
      </w:pPr>
      <w:r>
        <w:rPr>
          <w:rFonts w:ascii="方正仿宋_GBK" w:hAnsi="方正仿宋_GBK" w:eastAsia="方正仿宋_GBK" w:cs="方正仿宋_GBK"/>
          <w:b/>
          <w:color w:val="000000"/>
          <w:sz w:val="28"/>
        </w:rPr>
        <w:t>2、人民调解经费绩效目标表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8"/>
            </w:pPr>
            <w:r>
              <w:t>绩效目标</w:t>
            </w:r>
          </w:p>
        </w:tc>
        <w:tc>
          <w:tcPr>
            <w:tcW w:w="12756" w:type="dxa"/>
            <w:tcBorders>
              <w:bottom w:val="single" w:color="FFFFFF" w:sz="6" w:space="0"/>
            </w:tcBorders>
            <w:vAlign w:val="center"/>
          </w:tcPr>
          <w:p>
            <w:pPr>
              <w:pStyle w:val="29"/>
            </w:pPr>
            <w:r>
              <w:t>1.推进人民调解工作规范化建设，完成年度调解任务目标</w:t>
            </w:r>
          </w:p>
        </w:tc>
      </w:tr>
    </w:tbl>
    <w:p>
      <w:pPr>
        <w:pStyle w:val="27"/>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28"/>
            </w:pPr>
            <w:r>
              <w:t>一级指标</w:t>
            </w:r>
          </w:p>
        </w:tc>
        <w:tc>
          <w:tcPr>
            <w:tcW w:w="2268" w:type="dxa"/>
            <w:vAlign w:val="center"/>
          </w:tcPr>
          <w:p>
            <w:pPr>
              <w:pStyle w:val="28"/>
            </w:pPr>
            <w:r>
              <w:t>二级指标</w:t>
            </w:r>
          </w:p>
        </w:tc>
        <w:tc>
          <w:tcPr>
            <w:tcW w:w="2835" w:type="dxa"/>
            <w:vAlign w:val="center"/>
          </w:tcPr>
          <w:p>
            <w:pPr>
              <w:pStyle w:val="28"/>
            </w:pPr>
            <w:r>
              <w:t>三级指标</w:t>
            </w:r>
          </w:p>
        </w:tc>
        <w:tc>
          <w:tcPr>
            <w:tcW w:w="2835" w:type="dxa"/>
            <w:vAlign w:val="center"/>
          </w:tcPr>
          <w:p>
            <w:pPr>
              <w:pStyle w:val="28"/>
            </w:pPr>
            <w:r>
              <w:t>绩效指标描述</w:t>
            </w:r>
          </w:p>
        </w:tc>
        <w:tc>
          <w:tcPr>
            <w:tcW w:w="2551" w:type="dxa"/>
            <w:vAlign w:val="center"/>
          </w:tcPr>
          <w:p>
            <w:pPr>
              <w:pStyle w:val="28"/>
            </w:pPr>
            <w:r>
              <w:t>指标值</w:t>
            </w:r>
          </w:p>
        </w:tc>
        <w:tc>
          <w:tcPr>
            <w:tcW w:w="2268" w:type="dxa"/>
            <w:vAlign w:val="center"/>
          </w:tcPr>
          <w:p>
            <w:pPr>
              <w:pStyle w:val="2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0"/>
            </w:pPr>
            <w:r>
              <w:t>产出指标</w:t>
            </w:r>
          </w:p>
        </w:tc>
        <w:tc>
          <w:tcPr>
            <w:tcW w:w="2268" w:type="dxa"/>
            <w:vAlign w:val="center"/>
          </w:tcPr>
          <w:p>
            <w:pPr>
              <w:pStyle w:val="29"/>
            </w:pPr>
            <w:r>
              <w:t>数量指标</w:t>
            </w:r>
          </w:p>
        </w:tc>
        <w:tc>
          <w:tcPr>
            <w:tcW w:w="2835" w:type="dxa"/>
            <w:vAlign w:val="center"/>
          </w:tcPr>
          <w:p>
            <w:pPr>
              <w:pStyle w:val="29"/>
            </w:pPr>
            <w:r>
              <w:t>加强工作人员业务知识</w:t>
            </w:r>
          </w:p>
        </w:tc>
        <w:tc>
          <w:tcPr>
            <w:tcW w:w="2835" w:type="dxa"/>
            <w:vAlign w:val="center"/>
          </w:tcPr>
          <w:p>
            <w:pPr>
              <w:pStyle w:val="29"/>
            </w:pPr>
            <w:r>
              <w:t>业务知识有所提高</w:t>
            </w:r>
          </w:p>
        </w:tc>
        <w:tc>
          <w:tcPr>
            <w:tcW w:w="2551" w:type="dxa"/>
            <w:vAlign w:val="center"/>
          </w:tcPr>
          <w:p>
            <w:pPr>
              <w:pStyle w:val="29"/>
            </w:pPr>
            <w:r>
              <w:t>≥100业务知识显著提升</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质量指标</w:t>
            </w:r>
          </w:p>
        </w:tc>
        <w:tc>
          <w:tcPr>
            <w:tcW w:w="2835" w:type="dxa"/>
            <w:vAlign w:val="center"/>
          </w:tcPr>
          <w:p>
            <w:pPr>
              <w:pStyle w:val="29"/>
            </w:pPr>
            <w:r>
              <w:t>以“服务民生、服务基层”</w:t>
            </w:r>
          </w:p>
        </w:tc>
        <w:tc>
          <w:tcPr>
            <w:tcW w:w="2835" w:type="dxa"/>
            <w:vAlign w:val="center"/>
          </w:tcPr>
          <w:p>
            <w:pPr>
              <w:pStyle w:val="29"/>
            </w:pPr>
            <w:r>
              <w:t>普法宣传率</w:t>
            </w:r>
          </w:p>
        </w:tc>
        <w:tc>
          <w:tcPr>
            <w:tcW w:w="2551" w:type="dxa"/>
            <w:vAlign w:val="center"/>
          </w:tcPr>
          <w:p>
            <w:pPr>
              <w:pStyle w:val="29"/>
            </w:pPr>
            <w:r>
              <w:t>≥1001</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时效指标</w:t>
            </w:r>
          </w:p>
        </w:tc>
        <w:tc>
          <w:tcPr>
            <w:tcW w:w="2835" w:type="dxa"/>
            <w:vAlign w:val="center"/>
          </w:tcPr>
          <w:p>
            <w:pPr>
              <w:pStyle w:val="29"/>
            </w:pPr>
            <w:r>
              <w:t>进一步深化人民调解工作</w:t>
            </w:r>
          </w:p>
        </w:tc>
        <w:tc>
          <w:tcPr>
            <w:tcW w:w="2835" w:type="dxa"/>
            <w:vAlign w:val="center"/>
          </w:tcPr>
          <w:p>
            <w:pPr>
              <w:pStyle w:val="29"/>
            </w:pPr>
            <w:r>
              <w:t>完成时限</w:t>
            </w:r>
          </w:p>
        </w:tc>
        <w:tc>
          <w:tcPr>
            <w:tcW w:w="2551" w:type="dxa"/>
            <w:vAlign w:val="center"/>
          </w:tcPr>
          <w:p>
            <w:pPr>
              <w:pStyle w:val="29"/>
            </w:pPr>
            <w:r>
              <w:t>≥1002022年12月31日</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7"/>
            </w:pPr>
          </w:p>
        </w:tc>
        <w:tc>
          <w:tcPr>
            <w:tcW w:w="2268" w:type="dxa"/>
            <w:vAlign w:val="center"/>
          </w:tcPr>
          <w:p>
            <w:pPr>
              <w:pStyle w:val="29"/>
            </w:pPr>
            <w:r>
              <w:t>成本指标</w:t>
            </w:r>
          </w:p>
        </w:tc>
        <w:tc>
          <w:tcPr>
            <w:tcW w:w="2835" w:type="dxa"/>
            <w:vAlign w:val="center"/>
          </w:tcPr>
          <w:p>
            <w:pPr>
              <w:pStyle w:val="29"/>
            </w:pPr>
            <w:r>
              <w:t>区级财政投入</w:t>
            </w:r>
          </w:p>
        </w:tc>
        <w:tc>
          <w:tcPr>
            <w:tcW w:w="2835" w:type="dxa"/>
            <w:vAlign w:val="center"/>
          </w:tcPr>
          <w:p>
            <w:pPr>
              <w:pStyle w:val="29"/>
            </w:pPr>
            <w:r>
              <w:t>区级财政投入</w:t>
            </w:r>
          </w:p>
        </w:tc>
        <w:tc>
          <w:tcPr>
            <w:tcW w:w="2551" w:type="dxa"/>
            <w:vAlign w:val="center"/>
          </w:tcPr>
          <w:p>
            <w:pPr>
              <w:pStyle w:val="29"/>
            </w:pPr>
            <w:r>
              <w:t>≥10010000</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效益指标</w:t>
            </w:r>
          </w:p>
        </w:tc>
        <w:tc>
          <w:tcPr>
            <w:tcW w:w="2268" w:type="dxa"/>
            <w:vAlign w:val="center"/>
          </w:tcPr>
          <w:p>
            <w:pPr>
              <w:pStyle w:val="29"/>
            </w:pPr>
            <w:r>
              <w:t>经济效益指标</w:t>
            </w:r>
          </w:p>
        </w:tc>
        <w:tc>
          <w:tcPr>
            <w:tcW w:w="2835" w:type="dxa"/>
            <w:vAlign w:val="center"/>
          </w:tcPr>
          <w:p>
            <w:pPr>
              <w:pStyle w:val="29"/>
            </w:pPr>
            <w:r>
              <w:t>保障调解工作进展顺利</w:t>
            </w:r>
          </w:p>
        </w:tc>
        <w:tc>
          <w:tcPr>
            <w:tcW w:w="2835" w:type="dxa"/>
            <w:vAlign w:val="center"/>
          </w:tcPr>
          <w:p>
            <w:pPr>
              <w:pStyle w:val="29"/>
            </w:pPr>
            <w:r>
              <w:t>调解成功的意见建议数量占总数量的比率</w:t>
            </w:r>
          </w:p>
        </w:tc>
        <w:tc>
          <w:tcPr>
            <w:tcW w:w="2551" w:type="dxa"/>
            <w:vAlign w:val="center"/>
          </w:tcPr>
          <w:p>
            <w:pPr>
              <w:pStyle w:val="29"/>
            </w:pPr>
            <w:r>
              <w:t>≥90≥90%</w:t>
            </w:r>
          </w:p>
        </w:tc>
        <w:tc>
          <w:tcPr>
            <w:tcW w:w="2268" w:type="dxa"/>
            <w:vAlign w:val="center"/>
          </w:tcPr>
          <w:p>
            <w:pPr>
              <w:pStyle w:val="29"/>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0"/>
            </w:pPr>
            <w:r>
              <w:t>满意度指标</w:t>
            </w:r>
          </w:p>
        </w:tc>
        <w:tc>
          <w:tcPr>
            <w:tcW w:w="2268" w:type="dxa"/>
            <w:vAlign w:val="center"/>
          </w:tcPr>
          <w:p>
            <w:pPr>
              <w:pStyle w:val="29"/>
            </w:pPr>
            <w:r>
              <w:t>服务对象满意度指标</w:t>
            </w:r>
          </w:p>
        </w:tc>
        <w:tc>
          <w:tcPr>
            <w:tcW w:w="2835" w:type="dxa"/>
            <w:vAlign w:val="center"/>
          </w:tcPr>
          <w:p>
            <w:pPr>
              <w:pStyle w:val="29"/>
            </w:pPr>
            <w:r>
              <w:t>社区人民群众满意度</w:t>
            </w:r>
          </w:p>
        </w:tc>
        <w:tc>
          <w:tcPr>
            <w:tcW w:w="2835" w:type="dxa"/>
            <w:vAlign w:val="center"/>
          </w:tcPr>
          <w:p>
            <w:pPr>
              <w:pStyle w:val="29"/>
            </w:pPr>
            <w:r>
              <w:t>社区人民群众满意度</w:t>
            </w:r>
          </w:p>
        </w:tc>
        <w:tc>
          <w:tcPr>
            <w:tcW w:w="2551" w:type="dxa"/>
            <w:vAlign w:val="center"/>
          </w:tcPr>
          <w:p>
            <w:pPr>
              <w:pStyle w:val="29"/>
            </w:pPr>
            <w:r>
              <w:t>≥90≥90%</w:t>
            </w:r>
          </w:p>
        </w:tc>
        <w:tc>
          <w:tcPr>
            <w:tcW w:w="2268" w:type="dxa"/>
            <w:vAlign w:val="center"/>
          </w:tcPr>
          <w:p>
            <w:pPr>
              <w:pStyle w:val="29"/>
            </w:pPr>
            <w:r>
              <w:t>年度计划</w:t>
            </w:r>
          </w:p>
        </w:tc>
      </w:tr>
    </w:tbl>
    <w:p>
      <w:pPr>
        <w:pStyle w:val="27"/>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2022年，唐山市司法局</w:t>
      </w:r>
      <w:r>
        <w:rPr>
          <w:rFonts w:hint="eastAsia" w:eastAsia="方正仿宋_GBK"/>
          <w:color w:val="000000"/>
          <w:sz w:val="28"/>
          <w:lang w:eastAsia="zh-CN"/>
        </w:rPr>
        <w:t>芦</w:t>
      </w:r>
      <w:r>
        <w:rPr>
          <w:rFonts w:eastAsia="方正仿宋_GBK"/>
          <w:color w:val="000000"/>
          <w:sz w:val="28"/>
        </w:rPr>
        <w:t>台经济开发区分局安排政府采购预算0.00万元。具体内容见下表。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315唐山市司法局芦台经济开发区分局</w:t>
            </w:r>
          </w:p>
        </w:tc>
        <w:tc>
          <w:tcPr>
            <w:tcW w:w="8674" w:type="dxa"/>
            <w:gridSpan w:val="9"/>
            <w:tcBorders>
              <w:top w:val="single" w:color="FFFFFF" w:sz="6" w:space="0"/>
              <w:left w:val="single" w:color="FFFFFF" w:sz="6" w:space="0"/>
              <w:right w:val="single" w:color="FFFFFF" w:sz="6" w:space="0"/>
            </w:tcBorders>
            <w:vAlign w:val="center"/>
          </w:tcPr>
          <w:p>
            <w:pPr>
              <w:pStyle w:val="3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唐山市司法局芦台经济开发区分局（含所属单位）上年末固定资产金额为</w:t>
      </w:r>
      <w:r>
        <w:rPr>
          <w:rFonts w:hint="eastAsia" w:eastAsia="方正仿宋_GBK"/>
          <w:color w:val="000000"/>
          <w:sz w:val="28"/>
          <w:lang w:eastAsia="zh-CN"/>
        </w:rPr>
        <w:t>93.99</w:t>
      </w:r>
      <w:r>
        <w:rPr>
          <w:rFonts w:eastAsia="方正仿宋_GBK"/>
          <w:color w:val="000000"/>
          <w:sz w:val="28"/>
        </w:rPr>
        <w:t>万元（详见下表）。本年度拟购置固定资产总额为</w:t>
      </w:r>
      <w:r>
        <w:rPr>
          <w:rFonts w:eastAsia="方正仿宋_GBK"/>
          <w:color w:val="000000" w:themeColor="text1"/>
          <w:sz w:val="28"/>
          <w14:textFill>
            <w14:solidFill>
              <w14:schemeClr w14:val="tx1"/>
            </w14:solidFill>
          </w14:textFill>
        </w:rPr>
        <w:t>0.00</w:t>
      </w:r>
      <w:r>
        <w:rPr>
          <w:rFonts w:eastAsia="方正仿宋_GBK"/>
          <w:color w:val="000000"/>
          <w:sz w:val="28"/>
        </w:rPr>
        <w:t>万元，已按要求列入政府采购预算，详见政府采购预算表。</w:t>
      </w:r>
    </w:p>
    <w:p>
      <w:pPr>
        <w:jc w:val="center"/>
        <w:rPr>
          <w:rFonts w:hint="eastAsia" w:ascii="Times New Roman" w:hAnsi="宋体" w:cs="宋体"/>
          <w:sz w:val="36"/>
        </w:rPr>
      </w:pPr>
      <w:r>
        <w:rPr>
          <w:rFonts w:hint="eastAsia" w:ascii="方正小标宋_GBK" w:hAnsi="方正小标宋_GBK" w:eastAsia="方正小标宋_GBK" w:cs="方正小标宋_GBK"/>
          <w:sz w:val="36"/>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1"/>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hAnsi="方正小标宋_GBK" w:eastAsia="方正小标宋_GBK" w:cs="方正小标宋_GBK"/>
                <w:sz w:val="24"/>
              </w:rPr>
            </w:pP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hint="default" w:ascii="方正小标宋_GBK" w:hAnsi="方正小标宋_GBK" w:eastAsia="方正小标宋_GBK" w:cs="方正小标宋_GBK"/>
                <w:sz w:val="24"/>
                <w:lang w:val="en-US" w:eastAsia="zh-CN"/>
              </w:rPr>
            </w:pPr>
            <w:r>
              <w:rPr>
                <w:rFonts w:hint="eastAsia" w:ascii="方正小标宋_GBK" w:hAnsi="方正小标宋_GBK" w:eastAsia="方正小标宋_GBK" w:cs="方正小标宋_GBK"/>
                <w:sz w:val="24"/>
              </w:rPr>
              <w:t>截止时间：</w:t>
            </w:r>
            <w:r>
              <w:rPr>
                <w:rFonts w:hint="eastAsia" w:ascii="方正小标宋_GBK" w:hAnsi="方正小标宋_GBK" w:eastAsia="方正小标宋_GBK" w:cs="方正小标宋_GBK"/>
                <w:sz w:val="24"/>
                <w:lang w:val="en-US" w:eastAsia="zh-CN"/>
              </w:rP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1"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项   目</w:t>
            </w:r>
          </w:p>
        </w:tc>
        <w:tc>
          <w:tcPr>
            <w:tcW w:w="2835"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数量</w:t>
            </w:r>
          </w:p>
        </w:tc>
        <w:tc>
          <w:tcPr>
            <w:tcW w:w="2835" w:type="dxa"/>
            <w:noWrap w:val="0"/>
            <w:vAlign w:val="center"/>
          </w:tcPr>
          <w:p>
            <w:pPr>
              <w:spacing w:line="300" w:lineRule="exact"/>
              <w:jc w:val="center"/>
              <w:rPr>
                <w:rFonts w:hint="eastAsia" w:ascii="方正书宋_GBK" w:hAnsi="方正书宋_GBK" w:eastAsia="方正书宋_GBK" w:cs="方正书宋_GBK"/>
                <w:b/>
              </w:rPr>
            </w:pPr>
            <w:r>
              <w:rPr>
                <w:rFonts w:hint="eastAsia" w:ascii="方正书宋_GBK" w:hAnsi="方正书宋_GBK" w:eastAsia="方正书宋_GBK" w:cs="方正书宋_GBK"/>
                <w:b/>
              </w:rPr>
              <w:t>价值（金额单位：</w:t>
            </w:r>
            <w:r>
              <w:rPr>
                <w:rFonts w:hint="eastAsia" w:ascii="方正书宋_GBK" w:hAnsi="方正书宋_GBK" w:eastAsia="方正书宋_GBK" w:cs="方正书宋_GBK"/>
                <w:b/>
                <w:lang w:eastAsia="zh-CN"/>
              </w:rPr>
              <w:t>万元</w:t>
            </w:r>
            <w:r>
              <w:rPr>
                <w:rFonts w:hint="eastAsia" w:ascii="方正书宋_GBK" w:hAnsi="方正书宋_GBK" w:eastAsia="方正书宋_GBK" w:cs="方正书宋_GBK"/>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固定资产</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一、房屋、土地（平方米）</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eastAsia="宋体"/>
                <w:lang w:eastAsia="zh-CN"/>
              </w:rPr>
            </w:pPr>
            <w:r>
              <w:rPr>
                <w:rFonts w:hint="eastAsia" w:eastAsia="宋体"/>
                <w:lang w:eastAsia="zh-CN"/>
              </w:rPr>
              <w:t>二、汽车（台、辆）</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1" w:type="dxa"/>
            <w:noWrap w:val="0"/>
            <w:vAlign w:val="top"/>
          </w:tcPr>
          <w:p>
            <w:pPr>
              <w:rPr>
                <w:rFonts w:hint="eastAsia"/>
              </w:rPr>
            </w:pPr>
            <w:r>
              <w:rPr>
                <w:rFonts w:hint="eastAsia" w:eastAsia="宋体"/>
                <w:lang w:eastAsia="zh-CN"/>
              </w:rPr>
              <w:t>三、其他固定资产</w:t>
            </w:r>
          </w:p>
        </w:tc>
        <w:tc>
          <w:tcPr>
            <w:tcW w:w="2835" w:type="dxa"/>
            <w:noWrap w:val="0"/>
            <w:vAlign w:val="top"/>
          </w:tcPr>
          <w:p/>
        </w:tc>
        <w:tc>
          <w:tcPr>
            <w:tcW w:w="2835" w:type="dxa"/>
            <w:noWrap w:val="0"/>
            <w:vAlign w:val="top"/>
          </w:tcPr>
          <w:p>
            <w:pPr>
              <w:rPr>
                <w:rFonts w:hint="default" w:eastAsia="宋体"/>
                <w:lang w:val="en-US" w:eastAsia="zh-CN"/>
              </w:rPr>
            </w:pPr>
            <w:r>
              <w:rPr>
                <w:rFonts w:hint="eastAsia" w:eastAsia="宋体"/>
                <w:lang w:val="en-US" w:eastAsia="zh-CN"/>
              </w:rPr>
              <w:t>82.99</w:t>
            </w:r>
          </w:p>
        </w:tc>
      </w:tr>
    </w:tbl>
    <w:p>
      <w:pPr>
        <w:ind w:firstLine="420"/>
      </w:pP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8" w:name="_GoBack"/>
      <w:bookmarkEnd w:id="18"/>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E705821-7939-4D51-8AEF-C4639B153E85}"/>
  </w:font>
  <w:font w:name="黑体">
    <w:panose1 w:val="02010609060101010101"/>
    <w:charset w:val="86"/>
    <w:family w:val="auto"/>
    <w:pitch w:val="default"/>
    <w:sig w:usb0="800002BF" w:usb1="38CF7CFA" w:usb2="00000016" w:usb3="00000000" w:csb0="00040001" w:csb1="00000000"/>
    <w:embedRegular r:id="rId2" w:fontKey="{8E3A479A-A32A-43FB-A6A8-BC07C841FC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embedRegular r:id="rId3" w:fontKey="{7A80C26D-932C-4D8D-B613-306E75D2DB44}"/>
  </w:font>
  <w:font w:name="方正小标宋_GBK">
    <w:altName w:val="Arial Unicode MS"/>
    <w:panose1 w:val="03000509000000000000"/>
    <w:charset w:val="86"/>
    <w:family w:val="script"/>
    <w:pitch w:val="default"/>
    <w:sig w:usb0="00000000" w:usb1="00000000" w:usb2="00000010" w:usb3="00000000" w:csb0="00040000" w:csb1="00000000"/>
    <w:embedRegular r:id="rId4" w:fontKey="{B60C0035-8315-4D59-904D-53766F4EEA42}"/>
  </w:font>
  <w:font w:name="方正书宋_GBK">
    <w:altName w:val="Arial Unicode MS"/>
    <w:panose1 w:val="00000000000000000000"/>
    <w:charset w:val="00"/>
    <w:family w:val="auto"/>
    <w:pitch w:val="default"/>
    <w:sig w:usb0="00000000" w:usb1="00000000" w:usb2="00000000" w:usb3="00000000" w:csb0="00000000" w:csb1="00000000"/>
    <w:embedRegular r:id="rId5" w:fontKey="{FECC2EBA-6F4B-4F46-A50B-7116A44126FD}"/>
  </w:font>
  <w:font w:name="方正楷体_GBK">
    <w:altName w:val="Arial Unicode MS"/>
    <w:panose1 w:val="00000000000000000000"/>
    <w:charset w:val="00"/>
    <w:family w:val="auto"/>
    <w:pitch w:val="default"/>
    <w:sig w:usb0="00000000" w:usb1="00000000" w:usb2="00000000" w:usb3="00000000" w:csb0="00000000" w:csb1="00000000"/>
    <w:embedRegular r:id="rId6" w:fontKey="{60C494D6-0C0F-4D03-B077-8AEFB6AE6ED6}"/>
  </w:font>
  <w:font w:name="方正仿宋简体">
    <w:altName w:val="Arial Unicode MS"/>
    <w:panose1 w:val="02010601030101010101"/>
    <w:charset w:val="86"/>
    <w:family w:val="auto"/>
    <w:pitch w:val="default"/>
    <w:sig w:usb0="00000000" w:usb1="00000000" w:usb2="00000010" w:usb3="00000000" w:csb0="00040000" w:csb1="00000000"/>
    <w:embedRegular r:id="rId7" w:fontKey="{8DFB23CB-0EDA-4091-8FA2-298790A1AE93}"/>
  </w:font>
  <w:font w:name="仿宋">
    <w:panose1 w:val="02010609060101010101"/>
    <w:charset w:val="86"/>
    <w:family w:val="modern"/>
    <w:pitch w:val="default"/>
    <w:sig w:usb0="800002BF" w:usb1="38CF7CFA" w:usb2="00000016" w:usb3="00000000" w:csb0="00040001" w:csb1="00000000"/>
    <w:embedRegular r:id="rId8" w:fontKey="{1C19E098-6CB7-4920-B01C-29190F8B12F2}"/>
  </w:font>
  <w:font w:name="Tahoma">
    <w:panose1 w:val="020B0604030504040204"/>
    <w:charset w:val="00"/>
    <w:family w:val="swiss"/>
    <w:pitch w:val="default"/>
    <w:sig w:usb0="E1002EFF" w:usb1="C000605B" w:usb2="00000029" w:usb3="00000000" w:csb0="200101FF" w:csb1="20280000"/>
    <w:embedRegular r:id="rId9" w:fontKey="{3A052E17-5A5E-4FA7-BB16-442D9613D265}"/>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84231"/>
    <w:multiLevelType w:val="singleLevel"/>
    <w:tmpl w:val="70B842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D76527"/>
    <w:rsid w:val="001B5A12"/>
    <w:rsid w:val="001C2B0A"/>
    <w:rsid w:val="00272B99"/>
    <w:rsid w:val="004375B2"/>
    <w:rsid w:val="00933478"/>
    <w:rsid w:val="00CC3FE0"/>
    <w:rsid w:val="00D76527"/>
    <w:rsid w:val="2A2618E6"/>
    <w:rsid w:val="2B681D7F"/>
    <w:rsid w:val="3C697D84"/>
    <w:rsid w:val="3DD5204F"/>
    <w:rsid w:val="40C62CE2"/>
    <w:rsid w:val="6347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qFormat/>
    <w:uiPriority w:val="99"/>
    <w:pPr>
      <w:spacing w:before="100" w:beforeAutospacing="1" w:after="100" w:afterAutospacing="1"/>
    </w:pPr>
    <w:rPr>
      <w:rFonts w:ascii="宋体" w:hAnsi="宋体" w:cs="宋体"/>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Normal_365a12af-fd44-4555-a328-5a52622c454f"/>
    <w:qFormat/>
    <w:uiPriority w:val="0"/>
    <w:rPr>
      <w:rFonts w:ascii="Times New Roman" w:hAnsi="Times New Roman" w:eastAsia="Times New Roman" w:cs="Times New Roman"/>
      <w:sz w:val="24"/>
      <w:szCs w:val="24"/>
      <w:lang w:val="en-US" w:eastAsia="uk-UA" w:bidi="ar-SA"/>
    </w:rPr>
  </w:style>
  <w:style w:type="paragraph" w:customStyle="1" w:styleId="28">
    <w:name w:val="单元格样式1_f4c5964e-e377-4897-864f-1be16fbef0b7"/>
    <w:basedOn w:val="1"/>
    <w:qFormat/>
    <w:uiPriority w:val="0"/>
    <w:pPr>
      <w:jc w:val="center"/>
    </w:pPr>
    <w:rPr>
      <w:rFonts w:ascii="方正书宋_GBK" w:hAnsi="方正书宋_GBK" w:eastAsia="方正书宋_GBK" w:cs="方正书宋_GBK"/>
      <w:b/>
      <w:sz w:val="21"/>
    </w:rPr>
  </w:style>
  <w:style w:type="paragraph" w:customStyle="1" w:styleId="29">
    <w:name w:val="单元格样式2_ceef2a6f-d43d-4eb7-a367-a6f5683fa267"/>
    <w:basedOn w:val="1"/>
    <w:qFormat/>
    <w:uiPriority w:val="0"/>
    <w:rPr>
      <w:rFonts w:ascii="方正书宋_GBK" w:hAnsi="方正书宋_GBK" w:eastAsia="方正书宋_GBK" w:cs="方正书宋_GBK"/>
      <w:sz w:val="21"/>
    </w:rPr>
  </w:style>
  <w:style w:type="paragraph" w:customStyle="1" w:styleId="30">
    <w:name w:val="单元格样式3_cf1d62cb-bfed-49dc-a57a-8f48f8665b0c"/>
    <w:basedOn w:val="1"/>
    <w:qFormat/>
    <w:uiPriority w:val="0"/>
    <w:pPr>
      <w:jc w:val="center"/>
    </w:pPr>
    <w:rPr>
      <w:rFonts w:ascii="方正书宋_GBK" w:hAnsi="方正书宋_GBK" w:eastAsia="方正书宋_GBK" w:cs="方正书宋_GBK"/>
      <w:sz w:val="21"/>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2022-02-17T16:42:57Z</dcterms:created>
  <dcterms:modified xsi:type="dcterms:W3CDTF">2022-02-17T08:42:57Z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2022-02-17T16:42:54Z</dcterms:created>
  <dcterms:modified xsi:type="dcterms:W3CDTF">2022-02-17T08:42:53Z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2022-02-17T16:43:08Z</dcterms:created>
  <dcterms:modified xsi:type="dcterms:W3CDTF">2022-02-17T08:43:08Z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2022-02-17T16:43:01Z</dcterms:created>
  <dcterms:modified xsi:type="dcterms:W3CDTF">2022-02-17T08:43:01Z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2FAB-D667-463D-9AB5-CB738A8B66FE}">
  <ds:schemaRefs/>
</ds:datastoreItem>
</file>

<file path=customXml/itemProps2.xml><?xml version="1.0" encoding="utf-8"?>
<ds:datastoreItem xmlns:ds="http://schemas.openxmlformats.org/officeDocument/2006/customXml" ds:itemID="{C02483A3-E072-42F5-AF8A-A5D7922EB8F4}">
  <ds:schemaRefs/>
</ds:datastoreItem>
</file>

<file path=customXml/itemProps3.xml><?xml version="1.0" encoding="utf-8"?>
<ds:datastoreItem xmlns:ds="http://schemas.openxmlformats.org/officeDocument/2006/customXml" ds:itemID="{E610639D-B07E-4713-ADAC-218B47CBA3DA}">
  <ds:schemaRefs/>
</ds:datastoreItem>
</file>

<file path=customXml/itemProps4.xml><?xml version="1.0" encoding="utf-8"?>
<ds:datastoreItem xmlns:ds="http://schemas.openxmlformats.org/officeDocument/2006/customXml" ds:itemID="{EE3BB5AF-1EED-4891-B21F-F6484E4B9C66}">
  <ds:schemaRefs/>
</ds:datastoreItem>
</file>

<file path=customXml/itemProps5.xml><?xml version="1.0" encoding="utf-8"?>
<ds:datastoreItem xmlns:ds="http://schemas.openxmlformats.org/officeDocument/2006/customXml" ds:itemID="{CF0C1EC3-BFEB-43D6-BE5A-DD14FC668FCC}">
  <ds:schemaRefs/>
</ds:datastoreItem>
</file>

<file path=customXml/itemProps6.xml><?xml version="1.0" encoding="utf-8"?>
<ds:datastoreItem xmlns:ds="http://schemas.openxmlformats.org/officeDocument/2006/customXml" ds:itemID="{C05E2A75-478A-4FD1-B4E7-04F8CA42DC35}">
  <ds:schemaRefs/>
</ds:datastoreItem>
</file>

<file path=customXml/itemProps7.xml><?xml version="1.0" encoding="utf-8"?>
<ds:datastoreItem xmlns:ds="http://schemas.openxmlformats.org/officeDocument/2006/customXml" ds:itemID="{36E7E635-9370-4C80-A6A9-1D61BB18166B}">
  <ds:schemaRefs/>
</ds:datastoreItem>
</file>

<file path=customXml/itemProps8.xml><?xml version="1.0" encoding="utf-8"?>
<ds:datastoreItem xmlns:ds="http://schemas.openxmlformats.org/officeDocument/2006/customXml" ds:itemID="{288DEA79-8D4D-4F3D-BDBB-6614B5A1968B}">
  <ds:schemaRefs/>
</ds:datastoreItem>
</file>

<file path=customXml/itemProps9.xml><?xml version="1.0" encoding="utf-8"?>
<ds:datastoreItem xmlns:ds="http://schemas.openxmlformats.org/officeDocument/2006/customXml" ds:itemID="{19F20B86-22F7-4E7C-AB9B-07F966125B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6398</Words>
  <Characters>7728</Characters>
  <Lines>79</Lines>
  <Paragraphs>22</Paragraphs>
  <TotalTime>1</TotalTime>
  <ScaleCrop>false</ScaleCrop>
  <LinksUpToDate>false</LinksUpToDate>
  <CharactersWithSpaces>7938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2022-03-13T11:53:00Z</dcterms:created>
  <dc:creator>Administrator</dc:creator>
  <cp:lastModifiedBy>*:.一二三</cp:lastModifiedBy>
  <dcterms:modified xsi:type="dcterms:W3CDTF">2023-09-04T08:57:01Z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864245D3173F4A2DB2A2D84185D5A97F_13</vt:lpwstr>
  </property>
</Properties>
</file>