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7D" w:rsidRPr="00E32572" w:rsidRDefault="001C04F0">
      <w:pPr>
        <w:pStyle w:val="a3"/>
        <w:shd w:val="clear" w:color="auto" w:fill="FFFFFF"/>
        <w:spacing w:before="0" w:beforeAutospacing="0" w:after="0" w:afterAutospacing="0" w:line="293" w:lineRule="atLeast"/>
        <w:jc w:val="center"/>
        <w:rPr>
          <w:rFonts w:cs="Tahoma"/>
          <w:b/>
          <w:bCs/>
          <w:color w:val="333333"/>
          <w:sz w:val="36"/>
          <w:szCs w:val="36"/>
        </w:rPr>
      </w:pPr>
      <w:r w:rsidRPr="00E32572">
        <w:rPr>
          <w:rFonts w:cs="Tahoma" w:hint="eastAsia"/>
          <w:b/>
          <w:bCs/>
          <w:color w:val="333333"/>
          <w:sz w:val="36"/>
          <w:szCs w:val="36"/>
        </w:rPr>
        <w:t>唐山市芦台经济开发区城乡</w:t>
      </w:r>
      <w:r w:rsidRPr="00E32572">
        <w:rPr>
          <w:rFonts w:cs="Tahoma"/>
          <w:b/>
          <w:bCs/>
          <w:color w:val="333333"/>
          <w:sz w:val="36"/>
          <w:szCs w:val="36"/>
        </w:rPr>
        <w:t>规划</w:t>
      </w:r>
      <w:r w:rsidRPr="00E32572">
        <w:rPr>
          <w:rFonts w:cs="Tahoma" w:hint="eastAsia"/>
          <w:b/>
          <w:bCs/>
          <w:color w:val="333333"/>
          <w:sz w:val="36"/>
          <w:szCs w:val="36"/>
        </w:rPr>
        <w:t>建设管理局</w:t>
      </w:r>
    </w:p>
    <w:p w:rsidR="00E166BA" w:rsidRDefault="001C04F0" w:rsidP="00E166BA">
      <w:pPr>
        <w:pStyle w:val="a3"/>
        <w:shd w:val="clear" w:color="auto" w:fill="FFFFFF"/>
        <w:spacing w:before="0" w:beforeAutospacing="0" w:after="0" w:afterAutospacing="0" w:line="293" w:lineRule="atLeast"/>
        <w:jc w:val="center"/>
        <w:rPr>
          <w:rFonts w:ascii="Tahoma" w:hAnsi="Tahoma" w:cs="Tahoma"/>
          <w:color w:val="333333"/>
          <w:sz w:val="36"/>
          <w:szCs w:val="36"/>
        </w:rPr>
      </w:pPr>
      <w:r w:rsidRPr="00E32572">
        <w:rPr>
          <w:rFonts w:cs="Tahoma" w:hint="eastAsia"/>
          <w:b/>
          <w:bCs/>
          <w:color w:val="333333"/>
          <w:sz w:val="36"/>
          <w:szCs w:val="36"/>
        </w:rPr>
        <w:t>关于</w:t>
      </w:r>
      <w:r w:rsidRPr="00E32572">
        <w:rPr>
          <w:rFonts w:cs="Tahoma"/>
          <w:b/>
          <w:bCs/>
          <w:color w:val="333333"/>
          <w:sz w:val="36"/>
          <w:szCs w:val="36"/>
        </w:rPr>
        <w:t>2018年部门预算</w:t>
      </w:r>
      <w:r w:rsidRPr="00E32572">
        <w:rPr>
          <w:rFonts w:cs="Tahoma" w:hint="eastAsia"/>
          <w:b/>
          <w:bCs/>
          <w:color w:val="333333"/>
          <w:sz w:val="36"/>
          <w:szCs w:val="36"/>
        </w:rPr>
        <w:t>信息</w:t>
      </w:r>
      <w:r w:rsidRPr="00E32572">
        <w:rPr>
          <w:rFonts w:cs="Tahoma"/>
          <w:b/>
          <w:bCs/>
          <w:color w:val="333333"/>
          <w:sz w:val="36"/>
          <w:szCs w:val="36"/>
        </w:rPr>
        <w:t>公开</w:t>
      </w:r>
      <w:r w:rsidRPr="00E32572">
        <w:rPr>
          <w:rFonts w:cs="Tahoma" w:hint="eastAsia"/>
          <w:b/>
          <w:bCs/>
          <w:color w:val="333333"/>
          <w:sz w:val="36"/>
          <w:szCs w:val="36"/>
        </w:rPr>
        <w:t>的说明</w:t>
      </w:r>
    </w:p>
    <w:p w:rsidR="006B1A7D" w:rsidRPr="00E166BA" w:rsidRDefault="001C04F0" w:rsidP="00E166BA">
      <w:pPr>
        <w:pStyle w:val="a3"/>
        <w:shd w:val="clear" w:color="auto" w:fill="FFFFFF"/>
        <w:spacing w:before="0" w:beforeAutospacing="0" w:after="0" w:afterAutospacing="0" w:line="293" w:lineRule="atLeast"/>
        <w:rPr>
          <w:rFonts w:ascii="Tahoma" w:hAnsi="Tahoma" w:cs="Tahoma"/>
          <w:color w:val="333333"/>
          <w:sz w:val="36"/>
          <w:szCs w:val="36"/>
        </w:rPr>
      </w:pPr>
      <w:r>
        <w:rPr>
          <w:rFonts w:cs="Tahoma"/>
          <w:b/>
          <w:bCs/>
          <w:color w:val="333333"/>
          <w:sz w:val="32"/>
          <w:szCs w:val="32"/>
        </w:rPr>
        <w:t>一、部门职责、机构设置等基本情况</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sidR="00E166BA">
        <w:rPr>
          <w:rFonts w:cs="Tahoma" w:hint="eastAsia"/>
          <w:b/>
          <w:bCs/>
          <w:color w:val="333333"/>
          <w:sz w:val="32"/>
          <w:szCs w:val="32"/>
        </w:rPr>
        <w:t>（一）</w:t>
      </w:r>
      <w:r>
        <w:rPr>
          <w:rFonts w:cs="Tahoma"/>
          <w:b/>
          <w:bCs/>
          <w:color w:val="333333"/>
          <w:sz w:val="32"/>
          <w:szCs w:val="32"/>
        </w:rPr>
        <w:t>部门职责</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Pr>
          <w:rFonts w:cs="Tahoma"/>
          <w:color w:val="333333"/>
          <w:sz w:val="32"/>
          <w:szCs w:val="32"/>
        </w:rPr>
        <w:t>规划建设管理局，按照国家的法律、法规负责全区的规划建设项目，工程质量监督、建筑业管理、房产登记过户、村镇建设。主要职责是：</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1、贯彻执行国家和省建设法律、法规政策。</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2、负责组织编制全区的建设总体规划及控制性详细规划。</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3、对建设项目的选址，平面、里面布置，建筑形式、色调进行控制；对工程质量进行政府职能的监督，参与工程项目的竣工验收。</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4、组织工程项目的勘察、设计、审核，对工程消防、抗震、绿化按国家有关标准进行审查。</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5、完善建筑市场的管理，对建筑市场实行统一管理，公平竞争的原则。</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6、负责宣传建筑行业新材料、新工艺、新设备、新产品，并进行推广。</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lastRenderedPageBreak/>
        <w:t>    7、负责处理区内工程质量和事故，对不合格的工程进行查处。</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8、负责小城镇建设管理工作，强化城管监察职能，确保区洁净亮丽。</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9、负责全区房政管理工作，廉租住房和经济适用住房的管理；房产行业和房产交易市场的管理；组织、领导和监督城市房屋拆迁管理；指导、监督物业管理；负责城市危险房屋管理的工作。</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10、承办区党委和市建设主管部门交给的其他工作。</w:t>
      </w:r>
    </w:p>
    <w:p w:rsidR="006B1A7D" w:rsidRDefault="00E166BA" w:rsidP="003F6C10">
      <w:pPr>
        <w:pStyle w:val="a3"/>
        <w:shd w:val="clear" w:color="auto" w:fill="FFFFFF"/>
        <w:spacing w:before="0" w:beforeAutospacing="0" w:after="0" w:afterAutospacing="0" w:line="293" w:lineRule="atLeast"/>
        <w:ind w:firstLineChars="200" w:firstLine="643"/>
        <w:rPr>
          <w:rFonts w:cs="Tahoma"/>
          <w:b/>
          <w:bCs/>
          <w:color w:val="333333"/>
          <w:sz w:val="32"/>
          <w:szCs w:val="32"/>
        </w:rPr>
      </w:pPr>
      <w:r>
        <w:rPr>
          <w:rFonts w:cs="Tahoma" w:hint="eastAsia"/>
          <w:b/>
          <w:bCs/>
          <w:color w:val="333333"/>
          <w:sz w:val="32"/>
          <w:szCs w:val="32"/>
        </w:rPr>
        <w:t>（二）</w:t>
      </w:r>
      <w:r w:rsidR="001C04F0">
        <w:rPr>
          <w:rFonts w:cs="Tahoma"/>
          <w:b/>
          <w:bCs/>
          <w:color w:val="333333"/>
          <w:sz w:val="32"/>
          <w:szCs w:val="32"/>
        </w:rPr>
        <w:t>机构设置</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6B1A7D">
        <w:trPr>
          <w:trHeight w:val="300"/>
          <w:tblHeader/>
          <w:jc w:val="center"/>
        </w:trPr>
        <w:tc>
          <w:tcPr>
            <w:tcW w:w="4417" w:type="dxa"/>
            <w:vMerge w:val="restart"/>
            <w:vAlign w:val="center"/>
          </w:tcPr>
          <w:p w:rsidR="006B1A7D" w:rsidRDefault="001C04F0">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134" w:type="dxa"/>
            <w:vMerge w:val="restart"/>
            <w:vAlign w:val="center"/>
          </w:tcPr>
          <w:p w:rsidR="006B1A7D" w:rsidRDefault="001C04F0">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276" w:type="dxa"/>
            <w:vMerge w:val="restart"/>
            <w:vAlign w:val="center"/>
          </w:tcPr>
          <w:p w:rsidR="006B1A7D" w:rsidRDefault="001C04F0">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902" w:type="dxa"/>
            <w:vMerge w:val="restart"/>
            <w:vAlign w:val="center"/>
          </w:tcPr>
          <w:p w:rsidR="006B1A7D" w:rsidRDefault="001C04F0">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6B1A7D">
        <w:trPr>
          <w:trHeight w:val="300"/>
          <w:tblHeader/>
          <w:jc w:val="center"/>
        </w:trPr>
        <w:tc>
          <w:tcPr>
            <w:tcW w:w="4417" w:type="dxa"/>
            <w:vMerge/>
            <w:vAlign w:val="center"/>
          </w:tcPr>
          <w:p w:rsidR="006B1A7D" w:rsidRDefault="006B1A7D">
            <w:pPr>
              <w:spacing w:line="300" w:lineRule="exact"/>
              <w:jc w:val="left"/>
              <w:outlineLvl w:val="0"/>
              <w:rPr>
                <w:rFonts w:ascii="宋体" w:hAnsi="宋体" w:cs="宋体"/>
                <w:sz w:val="32"/>
                <w:szCs w:val="32"/>
              </w:rPr>
            </w:pPr>
          </w:p>
        </w:tc>
        <w:tc>
          <w:tcPr>
            <w:tcW w:w="1134" w:type="dxa"/>
            <w:vMerge/>
            <w:vAlign w:val="center"/>
          </w:tcPr>
          <w:p w:rsidR="006B1A7D" w:rsidRDefault="006B1A7D">
            <w:pPr>
              <w:spacing w:line="300" w:lineRule="exact"/>
              <w:jc w:val="left"/>
              <w:outlineLvl w:val="0"/>
              <w:rPr>
                <w:rFonts w:ascii="宋体" w:hAnsi="宋体" w:cs="宋体"/>
                <w:sz w:val="32"/>
                <w:szCs w:val="32"/>
              </w:rPr>
            </w:pPr>
          </w:p>
        </w:tc>
        <w:tc>
          <w:tcPr>
            <w:tcW w:w="1276" w:type="dxa"/>
            <w:vMerge/>
            <w:vAlign w:val="center"/>
          </w:tcPr>
          <w:p w:rsidR="006B1A7D" w:rsidRDefault="006B1A7D">
            <w:pPr>
              <w:spacing w:line="300" w:lineRule="exact"/>
              <w:jc w:val="left"/>
              <w:outlineLvl w:val="0"/>
              <w:rPr>
                <w:rFonts w:ascii="宋体" w:hAnsi="宋体" w:cs="宋体"/>
                <w:sz w:val="32"/>
                <w:szCs w:val="32"/>
              </w:rPr>
            </w:pPr>
          </w:p>
        </w:tc>
        <w:tc>
          <w:tcPr>
            <w:tcW w:w="2902" w:type="dxa"/>
            <w:vMerge/>
            <w:vAlign w:val="center"/>
          </w:tcPr>
          <w:p w:rsidR="006B1A7D" w:rsidRDefault="006B1A7D">
            <w:pPr>
              <w:spacing w:line="300" w:lineRule="exact"/>
              <w:jc w:val="left"/>
              <w:outlineLvl w:val="0"/>
              <w:rPr>
                <w:rFonts w:ascii="宋体" w:hAnsi="宋体" w:cs="宋体"/>
                <w:sz w:val="32"/>
                <w:szCs w:val="32"/>
              </w:rPr>
            </w:pPr>
          </w:p>
        </w:tc>
      </w:tr>
      <w:tr w:rsidR="006B1A7D">
        <w:trPr>
          <w:trHeight w:val="227"/>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办公室</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300"/>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规划科</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227"/>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燃气与供热科</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227"/>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建管科</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315"/>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质监站</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227"/>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安监站</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227"/>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房管科</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6B1A7D" w:rsidRDefault="001C04F0">
            <w:pPr>
              <w:spacing w:line="300" w:lineRule="exact"/>
              <w:rPr>
                <w:rFonts w:ascii="宋体" w:hAnsi="宋体" w:cs="宋体"/>
                <w:sz w:val="32"/>
                <w:szCs w:val="32"/>
              </w:rPr>
            </w:pPr>
            <w:r>
              <w:rPr>
                <w:rFonts w:ascii="宋体" w:hAnsi="宋体" w:cs="宋体" w:hint="eastAsia"/>
                <w:sz w:val="32"/>
                <w:szCs w:val="32"/>
              </w:rPr>
              <w:t xml:space="preserve"> 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227"/>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建设工程招投标办公室</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227"/>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城管中队</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r w:rsidR="006B1A7D">
        <w:trPr>
          <w:trHeight w:val="227"/>
          <w:jc w:val="center"/>
        </w:trPr>
        <w:tc>
          <w:tcPr>
            <w:tcW w:w="4417" w:type="dxa"/>
            <w:vAlign w:val="center"/>
          </w:tcPr>
          <w:p w:rsidR="006B1A7D" w:rsidRDefault="001C04F0">
            <w:pPr>
              <w:spacing w:line="300" w:lineRule="exact"/>
              <w:jc w:val="left"/>
              <w:rPr>
                <w:rFonts w:ascii="宋体" w:hAnsi="宋体" w:cs="宋体"/>
                <w:sz w:val="32"/>
                <w:szCs w:val="32"/>
              </w:rPr>
            </w:pPr>
            <w:r>
              <w:rPr>
                <w:rFonts w:ascii="宋体" w:hAnsi="宋体" w:cs="宋体" w:hint="eastAsia"/>
                <w:sz w:val="32"/>
                <w:szCs w:val="32"/>
              </w:rPr>
              <w:t>绿化办公室</w:t>
            </w:r>
          </w:p>
        </w:tc>
        <w:tc>
          <w:tcPr>
            <w:tcW w:w="1134"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6B1A7D" w:rsidRDefault="001C04F0">
            <w:pPr>
              <w:spacing w:line="300" w:lineRule="exact"/>
              <w:jc w:val="center"/>
              <w:rPr>
                <w:rFonts w:ascii="宋体" w:hAnsi="宋体" w:cs="宋体"/>
                <w:sz w:val="32"/>
                <w:szCs w:val="32"/>
              </w:rPr>
            </w:pPr>
            <w:r>
              <w:rPr>
                <w:rFonts w:ascii="宋体" w:hAnsi="宋体" w:cs="宋体" w:hint="eastAsia"/>
                <w:sz w:val="32"/>
                <w:szCs w:val="32"/>
              </w:rPr>
              <w:t>财政拨款</w:t>
            </w:r>
          </w:p>
        </w:tc>
      </w:tr>
    </w:tbl>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二、部门预算安排总体情况</w:t>
      </w:r>
    </w:p>
    <w:p w:rsidR="006B1A7D" w:rsidRDefault="001C04F0">
      <w:pPr>
        <w:pStyle w:val="a3"/>
        <w:shd w:val="clear" w:color="auto" w:fill="FFFFFF"/>
        <w:spacing w:before="0" w:beforeAutospacing="0" w:after="0" w:afterAutospacing="0" w:line="560" w:lineRule="atLeast"/>
        <w:ind w:firstLineChars="100" w:firstLine="321"/>
        <w:rPr>
          <w:rFonts w:ascii="Tahoma" w:hAnsi="Tahoma" w:cs="Tahoma"/>
          <w:color w:val="333333"/>
          <w:sz w:val="20"/>
          <w:szCs w:val="20"/>
        </w:rPr>
      </w:pPr>
      <w:bookmarkStart w:id="0" w:name="_GoBack"/>
      <w:bookmarkEnd w:id="0"/>
      <w:r>
        <w:rPr>
          <w:rFonts w:cs="Tahoma"/>
          <w:b/>
          <w:bCs/>
          <w:color w:val="333333"/>
          <w:sz w:val="32"/>
          <w:szCs w:val="32"/>
        </w:rPr>
        <w:lastRenderedPageBreak/>
        <w:t>（一）收入说明</w:t>
      </w:r>
    </w:p>
    <w:p w:rsidR="006B1A7D" w:rsidRDefault="001C04F0">
      <w:pPr>
        <w:pStyle w:val="a3"/>
        <w:shd w:val="clear" w:color="auto" w:fill="FFFFFF"/>
        <w:spacing w:before="0" w:beforeAutospacing="0" w:after="0" w:afterAutospacing="0" w:line="560" w:lineRule="atLeast"/>
        <w:ind w:firstLine="640"/>
        <w:rPr>
          <w:rFonts w:ascii="Tahoma" w:hAnsi="Tahoma" w:cs="Tahoma"/>
          <w:color w:val="333333"/>
          <w:sz w:val="20"/>
          <w:szCs w:val="20"/>
        </w:rPr>
      </w:pPr>
      <w:r>
        <w:rPr>
          <w:rFonts w:cs="Tahoma"/>
          <w:color w:val="333333"/>
          <w:sz w:val="32"/>
          <w:szCs w:val="32"/>
        </w:rPr>
        <w:t>2018年部门预算收入1446.13万元，一般公共预算财政拨款收入946.13万元，政府性基金收入500万元。</w:t>
      </w:r>
    </w:p>
    <w:p w:rsidR="006B1A7D" w:rsidRDefault="001C04F0">
      <w:pPr>
        <w:pStyle w:val="a3"/>
        <w:shd w:val="clear" w:color="auto" w:fill="FFFFFF"/>
        <w:spacing w:before="0" w:beforeAutospacing="0" w:after="0" w:afterAutospacing="0" w:line="560" w:lineRule="atLeast"/>
        <w:ind w:firstLine="643"/>
        <w:rPr>
          <w:rFonts w:ascii="Tahoma" w:hAnsi="Tahoma" w:cs="Tahoma"/>
          <w:color w:val="333333"/>
          <w:sz w:val="20"/>
          <w:szCs w:val="20"/>
        </w:rPr>
      </w:pPr>
      <w:r>
        <w:rPr>
          <w:rFonts w:cs="Tahoma"/>
          <w:b/>
          <w:bCs/>
          <w:color w:val="333333"/>
          <w:sz w:val="32"/>
          <w:szCs w:val="32"/>
        </w:rPr>
        <w:t>（二）支出说明</w:t>
      </w:r>
    </w:p>
    <w:p w:rsidR="00E166BA" w:rsidRDefault="001C04F0" w:rsidP="00E166BA">
      <w:pPr>
        <w:pStyle w:val="a3"/>
        <w:shd w:val="clear" w:color="auto" w:fill="FFFFFF"/>
        <w:spacing w:before="0" w:beforeAutospacing="0" w:after="0" w:afterAutospacing="0" w:line="560" w:lineRule="atLeast"/>
        <w:ind w:firstLine="630"/>
        <w:rPr>
          <w:rFonts w:ascii="Tahoma" w:hAnsi="Tahoma" w:cs="Tahoma"/>
          <w:color w:val="333333"/>
          <w:sz w:val="20"/>
          <w:szCs w:val="20"/>
        </w:rPr>
      </w:pPr>
      <w:r>
        <w:rPr>
          <w:rFonts w:cs="Tahoma"/>
          <w:color w:val="333333"/>
          <w:sz w:val="32"/>
          <w:szCs w:val="32"/>
        </w:rPr>
        <w:t>2018年部门预算支出1446.13万元，其中：基本支出305.98万元，包括人员经费和公用经费；项目支出1140.15万元。</w:t>
      </w:r>
    </w:p>
    <w:p w:rsidR="006B1A7D" w:rsidRDefault="001C04F0" w:rsidP="00E166BA">
      <w:pPr>
        <w:pStyle w:val="a3"/>
        <w:shd w:val="clear" w:color="auto" w:fill="FFFFFF"/>
        <w:spacing w:before="0" w:beforeAutospacing="0" w:after="0" w:afterAutospacing="0" w:line="560" w:lineRule="atLeast"/>
        <w:ind w:firstLine="630"/>
        <w:rPr>
          <w:rFonts w:ascii="Tahoma" w:hAnsi="Tahoma" w:cs="Tahoma"/>
          <w:color w:val="333333"/>
          <w:sz w:val="20"/>
          <w:szCs w:val="20"/>
        </w:rPr>
      </w:pPr>
      <w:r>
        <w:rPr>
          <w:rFonts w:cs="Tahoma"/>
          <w:b/>
          <w:bCs/>
          <w:color w:val="333333"/>
          <w:sz w:val="32"/>
          <w:szCs w:val="32"/>
        </w:rPr>
        <w:t>（三）比上年增减情况</w:t>
      </w:r>
    </w:p>
    <w:p w:rsidR="006B1A7D" w:rsidRDefault="00AC1C44">
      <w:pPr>
        <w:pStyle w:val="a3"/>
        <w:shd w:val="clear" w:color="auto" w:fill="FFFFFF"/>
        <w:spacing w:before="0" w:beforeAutospacing="0" w:after="0" w:afterAutospacing="0" w:line="560" w:lineRule="atLeast"/>
        <w:ind w:firstLine="640"/>
        <w:rPr>
          <w:rFonts w:ascii="Tahoma" w:hAnsi="Tahoma" w:cs="Tahoma"/>
          <w:color w:val="333333"/>
          <w:sz w:val="20"/>
          <w:szCs w:val="20"/>
        </w:rPr>
      </w:pPr>
      <w:r w:rsidRPr="00AC1C44">
        <w:rPr>
          <w:rFonts w:cs="Tahoma" w:hint="eastAsia"/>
          <w:color w:val="333333"/>
          <w:sz w:val="32"/>
          <w:szCs w:val="32"/>
        </w:rPr>
        <w:t>2018年部门预算较2017年增长</w:t>
      </w:r>
      <w:r>
        <w:rPr>
          <w:rFonts w:cs="Tahoma" w:hint="eastAsia"/>
          <w:color w:val="333333"/>
          <w:sz w:val="32"/>
          <w:szCs w:val="32"/>
        </w:rPr>
        <w:t>1236.81</w:t>
      </w:r>
      <w:r w:rsidRPr="00AC1C44">
        <w:rPr>
          <w:rFonts w:cs="Tahoma" w:hint="eastAsia"/>
          <w:color w:val="333333"/>
          <w:sz w:val="32"/>
          <w:szCs w:val="32"/>
        </w:rPr>
        <w:t>万元</w:t>
      </w:r>
      <w:r w:rsidR="001C04F0">
        <w:rPr>
          <w:rFonts w:cs="Tahoma"/>
          <w:color w:val="333333"/>
          <w:sz w:val="32"/>
          <w:szCs w:val="32"/>
        </w:rPr>
        <w:t>，其中人员经费280.03万元，较2017年增加93.58万元，2017年有增资，增加人员，所以2018年比2017年人员经费相对增加；公用经费25.95万元，较2017年增加6.68万元，应为人员变动；专项经费支出1140.15万元，较2017年增加1136.55万元</w:t>
      </w:r>
      <w:r w:rsidR="00B01FE8">
        <w:rPr>
          <w:rFonts w:cs="Tahoma" w:hint="eastAsia"/>
          <w:color w:val="333333"/>
          <w:sz w:val="32"/>
          <w:szCs w:val="32"/>
        </w:rPr>
        <w:t>,</w:t>
      </w:r>
      <w:r w:rsidR="00A928FD">
        <w:rPr>
          <w:rFonts w:cs="Tahoma" w:hint="eastAsia"/>
          <w:color w:val="333333"/>
          <w:sz w:val="32"/>
          <w:szCs w:val="32"/>
        </w:rPr>
        <w:t>原因是增加</w:t>
      </w:r>
      <w:r w:rsidR="00B01FE8">
        <w:rPr>
          <w:rFonts w:cs="Tahoma" w:hint="eastAsia"/>
          <w:color w:val="333333"/>
          <w:sz w:val="32"/>
          <w:szCs w:val="32"/>
        </w:rPr>
        <w:t>污水处理厂服务费300万元,气代煤区配套11</w:t>
      </w:r>
      <w:r w:rsidR="00B827BB">
        <w:rPr>
          <w:rFonts w:cs="Tahoma" w:hint="eastAsia"/>
          <w:color w:val="333333"/>
          <w:sz w:val="32"/>
          <w:szCs w:val="32"/>
        </w:rPr>
        <w:t>5.5</w:t>
      </w:r>
      <w:r w:rsidR="00B01FE8">
        <w:rPr>
          <w:rFonts w:cs="Tahoma" w:hint="eastAsia"/>
          <w:color w:val="333333"/>
          <w:sz w:val="32"/>
          <w:szCs w:val="32"/>
        </w:rPr>
        <w:t>万元,燃气气代煤接口费10万元,规划费200万元,污水处理设施建设和运营200万元,其他城市基础设施配套300万元,新华路桥栏维修</w:t>
      </w:r>
      <w:r w:rsidR="00B01FE8">
        <w:rPr>
          <w:rFonts w:cs="Tahoma" w:hint="eastAsia"/>
          <w:color w:val="333333"/>
          <w:sz w:val="32"/>
          <w:szCs w:val="32"/>
        </w:rPr>
        <w:lastRenderedPageBreak/>
        <w:t>13.35万元,</w:t>
      </w:r>
      <w:r w:rsidR="009452D3">
        <w:rPr>
          <w:rFonts w:cs="Tahoma" w:hint="eastAsia"/>
          <w:color w:val="333333"/>
          <w:sz w:val="32"/>
          <w:szCs w:val="32"/>
        </w:rPr>
        <w:t>增加城管服装费等1.3万元,</w:t>
      </w:r>
      <w:r w:rsidR="00B01FE8">
        <w:rPr>
          <w:rFonts w:cs="Tahoma" w:hint="eastAsia"/>
          <w:color w:val="333333"/>
          <w:sz w:val="32"/>
          <w:szCs w:val="32"/>
        </w:rPr>
        <w:t>减少综合业务费2万元</w:t>
      </w:r>
      <w:r w:rsidR="00A928FD">
        <w:rPr>
          <w:rFonts w:cs="Tahoma" w:hint="eastAsia"/>
          <w:color w:val="333333"/>
          <w:sz w:val="32"/>
          <w:szCs w:val="32"/>
        </w:rPr>
        <w:t>,</w:t>
      </w:r>
      <w:r w:rsidR="009452D3">
        <w:rPr>
          <w:rFonts w:cs="Tahoma" w:hint="eastAsia"/>
          <w:color w:val="333333"/>
          <w:sz w:val="32"/>
          <w:szCs w:val="32"/>
        </w:rPr>
        <w:t>执法记录仪等设备购买费减少1.6</w:t>
      </w:r>
      <w:r w:rsidR="00A928FD">
        <w:rPr>
          <w:rFonts w:cs="Tahoma" w:hint="eastAsia"/>
          <w:color w:val="333333"/>
          <w:sz w:val="32"/>
          <w:szCs w:val="32"/>
        </w:rPr>
        <w:t>万元</w:t>
      </w:r>
      <w:r w:rsidR="001C04F0">
        <w:rPr>
          <w:rFonts w:cs="Tahoma"/>
          <w:color w:val="333333"/>
          <w:sz w:val="32"/>
          <w:szCs w:val="32"/>
        </w:rPr>
        <w:t>。</w:t>
      </w:r>
    </w:p>
    <w:p w:rsidR="006B1A7D" w:rsidRDefault="001C04F0">
      <w:pPr>
        <w:pStyle w:val="a3"/>
        <w:shd w:val="clear" w:color="auto" w:fill="FFFFFF"/>
        <w:spacing w:before="0" w:beforeAutospacing="0" w:after="0" w:afterAutospacing="0" w:line="560" w:lineRule="atLeast"/>
        <w:rPr>
          <w:rFonts w:ascii="Tahoma" w:hAnsi="Tahoma" w:cs="Tahoma"/>
          <w:color w:val="333333"/>
          <w:sz w:val="20"/>
          <w:szCs w:val="20"/>
        </w:rPr>
      </w:pPr>
      <w:r>
        <w:rPr>
          <w:rFonts w:cs="Tahoma"/>
          <w:b/>
          <w:bCs/>
          <w:color w:val="333333"/>
          <w:sz w:val="32"/>
          <w:szCs w:val="32"/>
        </w:rPr>
        <w:t>三、机关运行经费安排情况</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sidR="00E166BA">
        <w:rPr>
          <w:rFonts w:cs="Tahoma" w:hint="eastAsia"/>
          <w:color w:val="333333"/>
          <w:sz w:val="32"/>
          <w:szCs w:val="32"/>
        </w:rPr>
        <w:t xml:space="preserve">  </w:t>
      </w:r>
      <w:r>
        <w:rPr>
          <w:rStyle w:val="apple-converted-space"/>
          <w:rFonts w:cs="Tahoma" w:hint="eastAsia"/>
          <w:color w:val="333333"/>
          <w:sz w:val="32"/>
          <w:szCs w:val="32"/>
        </w:rPr>
        <w:t>机关运行经费总计25.95万元，其中</w:t>
      </w:r>
      <w:r>
        <w:rPr>
          <w:rFonts w:cs="Tahoma"/>
          <w:color w:val="333333"/>
          <w:sz w:val="32"/>
          <w:szCs w:val="32"/>
        </w:rPr>
        <w:t>办公费1.92万元，电费1.35万元，水费0.02万元，工会经费1.85万元，培训费1.39万元，取暖费2.1万元，差旅费3.6万元，公务接待费0.23万元，会议费0.48万元，福利费1.24万元，邮电费6.16万元，其他商品和服务支出0.24万元，其他交通费用5.04万元，印刷费0.33万元。</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四、财政拨款“三公”经费预算情况</w:t>
      </w:r>
    </w:p>
    <w:p w:rsidR="006B1A7D" w:rsidRDefault="001C04F0">
      <w:pPr>
        <w:pStyle w:val="a3"/>
        <w:shd w:val="clear" w:color="auto" w:fill="FFFFFF"/>
        <w:spacing w:before="0" w:beforeAutospacing="0" w:after="0" w:afterAutospacing="0" w:line="293" w:lineRule="atLeast"/>
        <w:ind w:firstLineChars="200" w:firstLine="640"/>
        <w:rPr>
          <w:rFonts w:cs="Tahoma"/>
          <w:color w:val="333333"/>
          <w:sz w:val="32"/>
          <w:szCs w:val="32"/>
        </w:rPr>
      </w:pPr>
      <w:r>
        <w:rPr>
          <w:rFonts w:cs="Tahoma"/>
          <w:color w:val="333333"/>
          <w:sz w:val="32"/>
          <w:szCs w:val="32"/>
        </w:rPr>
        <w:t>2018年</w:t>
      </w:r>
      <w:r w:rsidR="00943A67">
        <w:rPr>
          <w:rFonts w:cs="Tahoma" w:hint="eastAsia"/>
          <w:color w:val="333333"/>
          <w:sz w:val="32"/>
          <w:szCs w:val="32"/>
        </w:rPr>
        <w:t>规划局</w:t>
      </w:r>
      <w:r>
        <w:rPr>
          <w:rFonts w:cs="Tahoma"/>
          <w:color w:val="333333"/>
          <w:sz w:val="32"/>
          <w:szCs w:val="32"/>
        </w:rPr>
        <w:t>安排 “三公经费”0.23万元</w:t>
      </w:r>
      <w:r w:rsidR="003F6C10">
        <w:rPr>
          <w:rFonts w:cs="Tahoma" w:hint="eastAsia"/>
          <w:color w:val="333333"/>
          <w:sz w:val="32"/>
          <w:szCs w:val="32"/>
        </w:rPr>
        <w:t>，其中：</w:t>
      </w:r>
    </w:p>
    <w:p w:rsidR="006B1A7D" w:rsidRDefault="001C04F0">
      <w:pPr>
        <w:pStyle w:val="a3"/>
        <w:shd w:val="clear" w:color="auto" w:fill="FFFFFF"/>
        <w:spacing w:before="0" w:beforeAutospacing="0" w:after="0" w:afterAutospacing="0" w:line="293" w:lineRule="atLeast"/>
        <w:ind w:firstLineChars="200" w:firstLine="640"/>
        <w:rPr>
          <w:rFonts w:cs="Tahoma"/>
          <w:color w:val="333333"/>
          <w:sz w:val="32"/>
          <w:szCs w:val="32"/>
        </w:rPr>
      </w:pPr>
      <w:r>
        <w:rPr>
          <w:rFonts w:cs="Tahoma" w:hint="eastAsia"/>
          <w:color w:val="333333"/>
          <w:sz w:val="32"/>
          <w:szCs w:val="32"/>
        </w:rPr>
        <w:t>1、</w:t>
      </w:r>
      <w:r>
        <w:rPr>
          <w:rFonts w:cs="Tahoma"/>
          <w:color w:val="333333"/>
          <w:sz w:val="32"/>
          <w:szCs w:val="32"/>
        </w:rPr>
        <w:t>2018年公务车购置和运行维护费0万元</w:t>
      </w:r>
      <w:r w:rsidR="00E166BA">
        <w:rPr>
          <w:rFonts w:cs="Tahoma" w:hint="eastAsia"/>
          <w:color w:val="333333"/>
          <w:sz w:val="32"/>
          <w:szCs w:val="32"/>
        </w:rPr>
        <w:t>（购置费0万元，运行维护费0万元）</w:t>
      </w:r>
      <w:r>
        <w:rPr>
          <w:rFonts w:cs="Tahoma"/>
          <w:color w:val="333333"/>
          <w:sz w:val="32"/>
          <w:szCs w:val="32"/>
        </w:rPr>
        <w:t>，较2017年0万元，与上年持平。</w:t>
      </w:r>
    </w:p>
    <w:p w:rsidR="006B1A7D" w:rsidRDefault="001C04F0">
      <w:pPr>
        <w:pStyle w:val="a3"/>
        <w:shd w:val="clear" w:color="auto" w:fill="FFFFFF"/>
        <w:spacing w:before="0" w:beforeAutospacing="0" w:after="0" w:afterAutospacing="0" w:line="293" w:lineRule="atLeast"/>
        <w:ind w:firstLineChars="200" w:firstLine="640"/>
        <w:rPr>
          <w:rFonts w:cs="Tahoma"/>
          <w:color w:val="333333"/>
          <w:sz w:val="32"/>
          <w:szCs w:val="32"/>
        </w:rPr>
      </w:pPr>
      <w:r>
        <w:rPr>
          <w:rFonts w:cs="Tahoma" w:hint="eastAsia"/>
          <w:color w:val="333333"/>
          <w:sz w:val="32"/>
          <w:szCs w:val="32"/>
        </w:rPr>
        <w:t>2、</w:t>
      </w:r>
      <w:r>
        <w:rPr>
          <w:rFonts w:cs="Tahoma"/>
          <w:color w:val="333333"/>
          <w:sz w:val="32"/>
          <w:szCs w:val="32"/>
        </w:rPr>
        <w:t>2018年公务接待费0.23万元，较2017年度预算0.18万元，增加0.05万元</w:t>
      </w:r>
      <w:r w:rsidR="00272E7B">
        <w:rPr>
          <w:rFonts w:cs="Tahoma" w:hint="eastAsia"/>
          <w:color w:val="333333"/>
          <w:sz w:val="32"/>
          <w:szCs w:val="32"/>
        </w:rPr>
        <w:t>,原因是计提基数增加</w:t>
      </w:r>
      <w:r>
        <w:rPr>
          <w:rFonts w:cs="Tahoma"/>
          <w:color w:val="333333"/>
          <w:sz w:val="32"/>
          <w:szCs w:val="32"/>
        </w:rPr>
        <w:t>。</w:t>
      </w:r>
    </w:p>
    <w:p w:rsidR="006B1A7D" w:rsidRDefault="001C04F0">
      <w:pPr>
        <w:pStyle w:val="a3"/>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cs="Tahoma" w:hint="eastAsia"/>
          <w:color w:val="333333"/>
          <w:sz w:val="32"/>
          <w:szCs w:val="32"/>
        </w:rPr>
        <w:lastRenderedPageBreak/>
        <w:t>3、</w:t>
      </w:r>
      <w:r>
        <w:rPr>
          <w:rFonts w:cs="Tahoma"/>
          <w:color w:val="333333"/>
          <w:sz w:val="32"/>
          <w:szCs w:val="32"/>
        </w:rPr>
        <w:t>2018年因公出国费0万元，较2017年0万元，与上年持平</w:t>
      </w:r>
      <w:r>
        <w:rPr>
          <w:rFonts w:cs="Tahoma" w:hint="eastAsia"/>
          <w:color w:val="333333"/>
          <w:sz w:val="32"/>
          <w:szCs w:val="32"/>
        </w:rPr>
        <w:t>。</w:t>
      </w:r>
    </w:p>
    <w:p w:rsidR="006B1A7D" w:rsidRDefault="001C04F0">
      <w:pPr>
        <w:pStyle w:val="a3"/>
        <w:shd w:val="clear" w:color="auto" w:fill="FFFFFF"/>
        <w:spacing w:before="0" w:beforeAutospacing="0" w:after="0" w:afterAutospacing="0" w:line="293" w:lineRule="atLeast"/>
        <w:rPr>
          <w:rFonts w:cs="Tahoma"/>
          <w:b/>
          <w:bCs/>
          <w:color w:val="333333"/>
          <w:sz w:val="32"/>
          <w:szCs w:val="32"/>
        </w:rPr>
      </w:pPr>
      <w:r>
        <w:rPr>
          <w:rFonts w:cs="Tahoma"/>
          <w:b/>
          <w:bCs/>
          <w:color w:val="333333"/>
          <w:sz w:val="32"/>
          <w:szCs w:val="32"/>
        </w:rPr>
        <w:t>五、绩效预算信息情况</w:t>
      </w:r>
    </w:p>
    <w:p w:rsidR="0030402E" w:rsidRPr="0030402E" w:rsidRDefault="0030402E" w:rsidP="0030402E">
      <w:pPr>
        <w:pStyle w:val="a3"/>
        <w:shd w:val="clear" w:color="auto" w:fill="FFFFFF"/>
        <w:spacing w:before="0" w:beforeAutospacing="0" w:after="0" w:afterAutospacing="0" w:line="293" w:lineRule="atLeast"/>
        <w:ind w:firstLineChars="200" w:firstLine="643"/>
        <w:rPr>
          <w:rFonts w:cs="Tahoma"/>
          <w:b/>
          <w:color w:val="333333"/>
          <w:sz w:val="32"/>
          <w:szCs w:val="32"/>
        </w:rPr>
      </w:pPr>
      <w:r w:rsidRPr="0030402E">
        <w:rPr>
          <w:rFonts w:cs="Tahoma" w:hint="eastAsia"/>
          <w:b/>
          <w:color w:val="333333"/>
          <w:sz w:val="32"/>
          <w:szCs w:val="32"/>
        </w:rPr>
        <w:t>总体绩效目标：</w:t>
      </w:r>
    </w:p>
    <w:p w:rsidR="006B1A7D" w:rsidRDefault="001C04F0">
      <w:pPr>
        <w:pStyle w:val="a3"/>
        <w:shd w:val="clear" w:color="auto" w:fill="FFFFFF"/>
        <w:spacing w:before="0" w:beforeAutospacing="0" w:after="0" w:afterAutospacing="0" w:line="293" w:lineRule="atLeast"/>
        <w:ind w:firstLine="645"/>
        <w:rPr>
          <w:rFonts w:ascii="Tahoma" w:hAnsi="Tahoma" w:cs="Tahoma"/>
          <w:color w:val="333333"/>
          <w:sz w:val="20"/>
          <w:szCs w:val="20"/>
        </w:rPr>
      </w:pPr>
      <w:r>
        <w:rPr>
          <w:rFonts w:cs="Tahoma"/>
          <w:color w:val="333333"/>
          <w:sz w:val="32"/>
          <w:szCs w:val="32"/>
        </w:rPr>
        <w:t>按照区财政局有关预算绩效管理工作要求，我局开展了预算绩效管理工作，共涉及金额为1140.15万元。</w:t>
      </w:r>
    </w:p>
    <w:p w:rsidR="006B1A7D" w:rsidRDefault="001C04F0" w:rsidP="00E166BA">
      <w:pPr>
        <w:pStyle w:val="a3"/>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cs="Tahoma"/>
          <w:color w:val="333333"/>
          <w:sz w:val="32"/>
          <w:szCs w:val="32"/>
        </w:rPr>
        <w:t>1、用于污水处理厂服务费（第一年），费用300万元。</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sidR="00E166BA">
        <w:rPr>
          <w:rFonts w:cs="Tahoma" w:hint="eastAsia"/>
          <w:color w:val="333333"/>
          <w:sz w:val="32"/>
          <w:szCs w:val="32"/>
        </w:rPr>
        <w:t xml:space="preserve">  </w:t>
      </w:r>
      <w:r>
        <w:rPr>
          <w:rFonts w:cs="Tahoma"/>
          <w:color w:val="333333"/>
          <w:sz w:val="32"/>
          <w:szCs w:val="32"/>
        </w:rPr>
        <w:t>2、为进一步规范城市管理行为和更好的开展城市管理工作，展现良好的城管工作形象，增加工作透明度，需购置城管执法人员制式服装，需费用1.3万元。</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xml:space="preserve">   </w:t>
      </w:r>
      <w:r w:rsidR="00E166BA">
        <w:rPr>
          <w:rFonts w:cs="Tahoma" w:hint="eastAsia"/>
          <w:color w:val="333333"/>
          <w:sz w:val="32"/>
          <w:szCs w:val="32"/>
        </w:rPr>
        <w:t xml:space="preserve"> </w:t>
      </w:r>
      <w:r>
        <w:rPr>
          <w:rFonts w:cs="Tahoma"/>
          <w:color w:val="333333"/>
          <w:sz w:val="32"/>
          <w:szCs w:val="32"/>
        </w:rPr>
        <w:t>3、用于气代煤区配套，需要资金115.5万元。</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xml:space="preserve">   </w:t>
      </w:r>
      <w:r w:rsidR="00E166BA">
        <w:rPr>
          <w:rFonts w:cs="Tahoma" w:hint="eastAsia"/>
          <w:color w:val="333333"/>
          <w:sz w:val="32"/>
          <w:szCs w:val="32"/>
        </w:rPr>
        <w:t xml:space="preserve"> </w:t>
      </w:r>
      <w:r>
        <w:rPr>
          <w:rFonts w:cs="Tahoma"/>
          <w:color w:val="333333"/>
          <w:sz w:val="32"/>
          <w:szCs w:val="32"/>
        </w:rPr>
        <w:t>4、美化亮化城区环境，对新华路桥栏杆进行维修，需资金13.35万元。</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xml:space="preserve">   </w:t>
      </w:r>
      <w:r w:rsidR="00E166BA">
        <w:rPr>
          <w:rFonts w:cs="Tahoma" w:hint="eastAsia"/>
          <w:color w:val="333333"/>
          <w:sz w:val="32"/>
          <w:szCs w:val="32"/>
        </w:rPr>
        <w:t xml:space="preserve"> </w:t>
      </w:r>
      <w:r>
        <w:rPr>
          <w:rFonts w:cs="Tahoma"/>
          <w:color w:val="333333"/>
          <w:sz w:val="32"/>
          <w:szCs w:val="32"/>
        </w:rPr>
        <w:t>5、用于燃气气代煤接口费，需资金10万元。</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xml:space="preserve">   </w:t>
      </w:r>
      <w:r w:rsidR="00E166BA">
        <w:rPr>
          <w:rFonts w:cs="Tahoma" w:hint="eastAsia"/>
          <w:color w:val="333333"/>
          <w:sz w:val="32"/>
          <w:szCs w:val="32"/>
        </w:rPr>
        <w:t xml:space="preserve"> </w:t>
      </w:r>
      <w:r>
        <w:rPr>
          <w:rFonts w:cs="Tahoma"/>
          <w:color w:val="333333"/>
          <w:sz w:val="32"/>
          <w:szCs w:val="32"/>
        </w:rPr>
        <w:t>6、用于污水处理设施建设和运营费用，需资金200万元。</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xml:space="preserve">   </w:t>
      </w:r>
      <w:r w:rsidR="00E166BA">
        <w:rPr>
          <w:rFonts w:cs="Tahoma" w:hint="eastAsia"/>
          <w:color w:val="333333"/>
          <w:sz w:val="32"/>
          <w:szCs w:val="32"/>
        </w:rPr>
        <w:t xml:space="preserve"> </w:t>
      </w:r>
      <w:r>
        <w:rPr>
          <w:rFonts w:cs="Tahoma"/>
          <w:color w:val="333333"/>
          <w:sz w:val="32"/>
          <w:szCs w:val="32"/>
        </w:rPr>
        <w:t>7、其他城市基础设施配套费用，需资金300万元。</w:t>
      </w:r>
    </w:p>
    <w:p w:rsidR="006B1A7D" w:rsidRDefault="001C04F0" w:rsidP="0030402E">
      <w:pPr>
        <w:pStyle w:val="a3"/>
        <w:shd w:val="clear" w:color="auto" w:fill="FFFFFF"/>
        <w:spacing w:before="0" w:beforeAutospacing="0" w:after="0" w:afterAutospacing="0" w:line="293" w:lineRule="atLeast"/>
        <w:ind w:firstLine="630"/>
        <w:rPr>
          <w:rFonts w:cs="Tahoma"/>
          <w:color w:val="333333"/>
          <w:sz w:val="32"/>
          <w:szCs w:val="32"/>
        </w:rPr>
      </w:pPr>
      <w:r>
        <w:rPr>
          <w:rFonts w:cs="Tahoma"/>
          <w:color w:val="333333"/>
          <w:sz w:val="32"/>
          <w:szCs w:val="32"/>
        </w:rPr>
        <w:lastRenderedPageBreak/>
        <w:t>8、用于芦台经济开发区控制性详细规划编制费用，需要资金200万元。</w:t>
      </w:r>
    </w:p>
    <w:p w:rsidR="0030402E" w:rsidRPr="0030402E" w:rsidRDefault="0030402E" w:rsidP="0030402E">
      <w:pPr>
        <w:pStyle w:val="a3"/>
        <w:shd w:val="clear" w:color="auto" w:fill="FFFFFF"/>
        <w:spacing w:before="0" w:beforeAutospacing="0" w:after="0" w:afterAutospacing="0" w:line="293" w:lineRule="atLeast"/>
        <w:ind w:firstLineChars="200" w:firstLine="643"/>
        <w:rPr>
          <w:rFonts w:cs="Tahoma"/>
          <w:b/>
          <w:color w:val="333333"/>
          <w:sz w:val="32"/>
          <w:szCs w:val="32"/>
        </w:rPr>
      </w:pPr>
      <w:r w:rsidRPr="0030402E">
        <w:rPr>
          <w:rFonts w:cs="Tahoma" w:hint="eastAsia"/>
          <w:b/>
          <w:color w:val="333333"/>
          <w:sz w:val="32"/>
          <w:szCs w:val="32"/>
        </w:rPr>
        <w:t>部门职责-工作活动绩效目标</w:t>
      </w:r>
      <w:r>
        <w:rPr>
          <w:rFonts w:cs="Tahoma" w:hint="eastAsia"/>
          <w:b/>
          <w:color w:val="333333"/>
          <w:sz w:val="32"/>
          <w:szCs w:val="32"/>
        </w:rPr>
        <w:t>：</w:t>
      </w:r>
    </w:p>
    <w:p w:rsidR="0030402E" w:rsidRDefault="0030402E" w:rsidP="0030402E">
      <w:pPr>
        <w:pStyle w:val="a3"/>
        <w:shd w:val="clear" w:color="auto" w:fill="FFFFFF"/>
        <w:spacing w:before="0" w:beforeAutospacing="0" w:after="0" w:afterAutospacing="0" w:line="293" w:lineRule="atLeast"/>
        <w:rPr>
          <w:rFonts w:cs="Tahoma"/>
          <w:color w:val="333333"/>
          <w:sz w:val="32"/>
          <w:szCs w:val="32"/>
        </w:rPr>
      </w:pPr>
    </w:p>
    <w:p w:rsidR="0030402E" w:rsidRDefault="0030402E" w:rsidP="0030402E">
      <w:pPr>
        <w:jc w:val="center"/>
        <w:outlineLvl w:val="0"/>
        <w:rPr>
          <w:rFonts w:ascii="方正小标宋_GBK" w:eastAsia="方正小标宋_GBK"/>
          <w:sz w:val="32"/>
        </w:rPr>
      </w:pPr>
      <w:bookmarkStart w:id="1" w:name="_Toc471998877"/>
      <w:bookmarkStart w:id="2" w:name="_Toc471398463"/>
      <w:bookmarkStart w:id="3" w:name="_Toc476833494"/>
      <w:r w:rsidRPr="00CF617B">
        <w:rPr>
          <w:rFonts w:ascii="方正小标宋_GBK" w:eastAsia="方正小标宋_GBK" w:hint="eastAsia"/>
          <w:sz w:val="32"/>
        </w:rPr>
        <w:t>部门职责-工作活动绩效目标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30402E" w:rsidTr="00E737B3">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30402E" w:rsidRPr="00AD4776" w:rsidRDefault="0030402E" w:rsidP="00E737B3">
            <w:pPr>
              <w:spacing w:line="300" w:lineRule="exact"/>
              <w:jc w:val="left"/>
              <w:rPr>
                <w:rFonts w:ascii="方正小标宋_GBK"/>
                <w:sz w:val="24"/>
              </w:rPr>
            </w:pPr>
            <w:r>
              <w:rPr>
                <w:rFonts w:ascii="方正小标宋_GBK" w:hint="eastAsia"/>
                <w:sz w:val="24"/>
              </w:rPr>
              <w:t>芦台经济开发区城乡规划建设管理局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30402E" w:rsidRPr="00CF617B" w:rsidRDefault="0030402E" w:rsidP="00E737B3">
            <w:pPr>
              <w:spacing w:line="300" w:lineRule="exact"/>
              <w:jc w:val="right"/>
              <w:rPr>
                <w:rFonts w:ascii="方正书宋_GBK" w:eastAsia="方正书宋_GBK"/>
                <w:sz w:val="24"/>
              </w:rPr>
            </w:pPr>
            <w:r>
              <w:rPr>
                <w:rFonts w:ascii="方正书宋_GBK" w:eastAsia="方正书宋_GBK" w:hint="eastAsia"/>
                <w:sz w:val="24"/>
              </w:rPr>
              <w:t>单位：元</w:t>
            </w:r>
          </w:p>
        </w:tc>
      </w:tr>
      <w:tr w:rsidR="0030402E" w:rsidTr="00E737B3">
        <w:trPr>
          <w:trHeight w:val="227"/>
          <w:tblHeader/>
          <w:jc w:val="center"/>
        </w:trPr>
        <w:tc>
          <w:tcPr>
            <w:tcW w:w="2341" w:type="dxa"/>
            <w:vMerge w:val="restart"/>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评价标准</w:t>
            </w:r>
          </w:p>
        </w:tc>
      </w:tr>
      <w:tr w:rsidR="0030402E" w:rsidTr="00E737B3">
        <w:trPr>
          <w:trHeight w:val="227"/>
          <w:tblHeader/>
          <w:jc w:val="center"/>
        </w:trPr>
        <w:tc>
          <w:tcPr>
            <w:tcW w:w="2341" w:type="dxa"/>
            <w:vMerge/>
            <w:shd w:val="clear" w:color="auto" w:fill="auto"/>
            <w:vAlign w:val="center"/>
          </w:tcPr>
          <w:p w:rsidR="0030402E" w:rsidRDefault="0030402E" w:rsidP="00E737B3">
            <w:pPr>
              <w:spacing w:line="300" w:lineRule="exact"/>
              <w:jc w:val="left"/>
              <w:outlineLvl w:val="0"/>
            </w:pPr>
          </w:p>
        </w:tc>
        <w:tc>
          <w:tcPr>
            <w:tcW w:w="1276" w:type="dxa"/>
            <w:vMerge/>
            <w:shd w:val="clear" w:color="auto" w:fill="auto"/>
            <w:vAlign w:val="center"/>
          </w:tcPr>
          <w:p w:rsidR="0030402E" w:rsidRDefault="0030402E" w:rsidP="00E737B3">
            <w:pPr>
              <w:spacing w:line="300" w:lineRule="exact"/>
              <w:jc w:val="left"/>
              <w:outlineLvl w:val="0"/>
            </w:pPr>
          </w:p>
        </w:tc>
        <w:tc>
          <w:tcPr>
            <w:tcW w:w="2976" w:type="dxa"/>
            <w:vMerge/>
            <w:shd w:val="clear" w:color="auto" w:fill="auto"/>
            <w:vAlign w:val="center"/>
          </w:tcPr>
          <w:p w:rsidR="0030402E" w:rsidRDefault="0030402E" w:rsidP="00E737B3">
            <w:pPr>
              <w:spacing w:line="300" w:lineRule="exact"/>
              <w:jc w:val="left"/>
              <w:outlineLvl w:val="0"/>
            </w:pPr>
          </w:p>
        </w:tc>
        <w:tc>
          <w:tcPr>
            <w:tcW w:w="2976" w:type="dxa"/>
            <w:vMerge/>
            <w:shd w:val="clear" w:color="auto" w:fill="auto"/>
            <w:vAlign w:val="center"/>
          </w:tcPr>
          <w:p w:rsidR="0030402E" w:rsidRDefault="0030402E" w:rsidP="00E737B3">
            <w:pPr>
              <w:spacing w:line="300" w:lineRule="exact"/>
              <w:jc w:val="left"/>
              <w:outlineLvl w:val="0"/>
            </w:pPr>
          </w:p>
        </w:tc>
        <w:tc>
          <w:tcPr>
            <w:tcW w:w="1417" w:type="dxa"/>
            <w:vMerge/>
            <w:shd w:val="clear" w:color="auto" w:fill="auto"/>
            <w:vAlign w:val="center"/>
          </w:tcPr>
          <w:p w:rsidR="0030402E" w:rsidRDefault="0030402E" w:rsidP="00E737B3">
            <w:pPr>
              <w:spacing w:line="300" w:lineRule="exact"/>
              <w:jc w:val="left"/>
              <w:outlineLvl w:val="0"/>
            </w:pPr>
          </w:p>
        </w:tc>
        <w:tc>
          <w:tcPr>
            <w:tcW w:w="737" w:type="dxa"/>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30402E" w:rsidRPr="00CF617B" w:rsidRDefault="0030402E" w:rsidP="00E737B3">
            <w:pPr>
              <w:spacing w:line="300" w:lineRule="exact"/>
              <w:jc w:val="center"/>
              <w:rPr>
                <w:rFonts w:ascii="方正书宋_GBK" w:eastAsia="方正书宋_GBK"/>
                <w:b/>
              </w:rPr>
            </w:pPr>
            <w:r>
              <w:rPr>
                <w:rFonts w:ascii="方正书宋_GBK" w:eastAsia="方正书宋_GBK" w:hint="eastAsia"/>
                <w:b/>
              </w:rPr>
              <w:t>差</w:t>
            </w:r>
          </w:p>
        </w:tc>
      </w:tr>
      <w:tr w:rsidR="0030402E" w:rsidTr="00E737B3">
        <w:trPr>
          <w:trHeight w:val="227"/>
          <w:jc w:val="center"/>
        </w:trPr>
        <w:tc>
          <w:tcPr>
            <w:tcW w:w="2341" w:type="dxa"/>
            <w:vMerge w:val="restart"/>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t>一、建筑工程质量安全监管</w:t>
            </w:r>
          </w:p>
        </w:tc>
        <w:tc>
          <w:tcPr>
            <w:tcW w:w="1276" w:type="dxa"/>
            <w:vMerge w:val="restart"/>
            <w:vAlign w:val="center"/>
          </w:tcPr>
          <w:p w:rsidR="0030402E" w:rsidRDefault="0030402E" w:rsidP="00E737B3">
            <w:pPr>
              <w:spacing w:line="560" w:lineRule="atLeast"/>
              <w:jc w:val="left"/>
              <w:rPr>
                <w:rFonts w:ascii="仿宋" w:eastAsia="仿宋" w:hAnsi="仿宋" w:cs="仿宋"/>
                <w:szCs w:val="21"/>
              </w:rPr>
            </w:pPr>
          </w:p>
        </w:tc>
        <w:tc>
          <w:tcPr>
            <w:tcW w:w="2976" w:type="dxa"/>
            <w:vMerge w:val="restart"/>
            <w:vAlign w:val="center"/>
          </w:tcPr>
          <w:p w:rsidR="0030402E" w:rsidRPr="00636F0B" w:rsidRDefault="0030402E" w:rsidP="00E737B3">
            <w:pPr>
              <w:spacing w:line="560" w:lineRule="atLeast"/>
              <w:jc w:val="left"/>
              <w:rPr>
                <w:rFonts w:ascii="仿宋" w:eastAsia="仿宋" w:hAnsi="仿宋" w:cs="仿宋"/>
                <w:sz w:val="15"/>
                <w:szCs w:val="21"/>
              </w:rPr>
            </w:pPr>
            <w:r w:rsidRPr="00322FAC">
              <w:rPr>
                <w:rFonts w:ascii="仿宋" w:eastAsia="仿宋" w:hAnsi="仿宋" w:cs="仿宋" w:hint="eastAsia"/>
                <w:sz w:val="24"/>
                <w:szCs w:val="21"/>
              </w:rPr>
              <w:t>落实工程建设地方标准、工程质量、建筑安全生产的政策和规章制度，减少建筑安全生产事故，提高行业水平。</w:t>
            </w:r>
          </w:p>
        </w:tc>
        <w:tc>
          <w:tcPr>
            <w:tcW w:w="2976" w:type="dxa"/>
            <w:vMerge w:val="restart"/>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加强工程勘察设计行业管理，提高建筑工程勘察设计质量水平</w:t>
            </w:r>
          </w:p>
        </w:tc>
        <w:tc>
          <w:tcPr>
            <w:tcW w:w="1417"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工程质量投诉结案率</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≥85%</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&lt;85%</w:t>
            </w:r>
          </w:p>
        </w:tc>
      </w:tr>
      <w:tr w:rsidR="0030402E" w:rsidTr="00E737B3">
        <w:trPr>
          <w:trHeight w:val="227"/>
          <w:jc w:val="center"/>
        </w:trPr>
        <w:tc>
          <w:tcPr>
            <w:tcW w:w="2341" w:type="dxa"/>
            <w:vMerge/>
            <w:vAlign w:val="center"/>
          </w:tcPr>
          <w:p w:rsidR="0030402E" w:rsidRDefault="0030402E" w:rsidP="00E737B3">
            <w:pPr>
              <w:spacing w:line="560" w:lineRule="atLeast"/>
              <w:jc w:val="left"/>
              <w:rPr>
                <w:rFonts w:ascii="仿宋" w:eastAsia="仿宋" w:hAnsi="仿宋" w:cs="仿宋"/>
                <w:b/>
                <w:szCs w:val="21"/>
              </w:rPr>
            </w:pPr>
          </w:p>
        </w:tc>
        <w:tc>
          <w:tcPr>
            <w:tcW w:w="1276" w:type="dxa"/>
            <w:vMerge/>
            <w:vAlign w:val="center"/>
          </w:tcPr>
          <w:p w:rsidR="0030402E" w:rsidRDefault="0030402E" w:rsidP="00E737B3">
            <w:pPr>
              <w:spacing w:line="560" w:lineRule="atLeast"/>
              <w:jc w:val="left"/>
              <w:rPr>
                <w:rFonts w:ascii="仿宋" w:eastAsia="仿宋" w:hAnsi="仿宋" w:cs="仿宋"/>
                <w:szCs w:val="21"/>
              </w:rPr>
            </w:pPr>
          </w:p>
        </w:tc>
        <w:tc>
          <w:tcPr>
            <w:tcW w:w="2976" w:type="dxa"/>
            <w:vMerge/>
            <w:vAlign w:val="center"/>
          </w:tcPr>
          <w:p w:rsidR="0030402E" w:rsidRDefault="0030402E" w:rsidP="00E737B3">
            <w:pPr>
              <w:spacing w:line="560" w:lineRule="atLeast"/>
              <w:jc w:val="left"/>
              <w:rPr>
                <w:rFonts w:ascii="仿宋" w:eastAsia="仿宋" w:hAnsi="仿宋" w:cs="仿宋"/>
                <w:szCs w:val="21"/>
              </w:rPr>
            </w:pPr>
          </w:p>
        </w:tc>
        <w:tc>
          <w:tcPr>
            <w:tcW w:w="2976" w:type="dxa"/>
            <w:vMerge/>
            <w:vAlign w:val="center"/>
          </w:tcPr>
          <w:p w:rsidR="0030402E" w:rsidRDefault="0030402E" w:rsidP="00E737B3">
            <w:pPr>
              <w:spacing w:line="560" w:lineRule="atLeast"/>
              <w:jc w:val="left"/>
              <w:rPr>
                <w:rFonts w:ascii="仿宋" w:eastAsia="仿宋" w:hAnsi="仿宋" w:cs="仿宋"/>
                <w:szCs w:val="21"/>
              </w:rPr>
            </w:pPr>
          </w:p>
        </w:tc>
        <w:tc>
          <w:tcPr>
            <w:tcW w:w="1417" w:type="dxa"/>
            <w:vAlign w:val="center"/>
          </w:tcPr>
          <w:p w:rsidR="0030402E" w:rsidRDefault="0030402E" w:rsidP="00E737B3">
            <w:pPr>
              <w:spacing w:line="560" w:lineRule="atLeast"/>
              <w:jc w:val="left"/>
              <w:rPr>
                <w:rFonts w:ascii="仿宋" w:eastAsia="仿宋" w:hAnsi="仿宋" w:cs="仿宋"/>
                <w:szCs w:val="21"/>
              </w:rPr>
            </w:pPr>
            <w:r w:rsidRPr="00AA19FE">
              <w:rPr>
                <w:rFonts w:ascii="仿宋" w:eastAsia="仿宋" w:hAnsi="仿宋" w:cs="仿宋" w:hint="eastAsia"/>
                <w:sz w:val="20"/>
                <w:szCs w:val="21"/>
              </w:rPr>
              <w:t>建筑工程施工现场达标率</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≥97%</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≥80%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&lt;80%</w:t>
            </w:r>
          </w:p>
        </w:tc>
      </w:tr>
      <w:tr w:rsidR="0030402E" w:rsidTr="00E737B3">
        <w:trPr>
          <w:trHeight w:val="227"/>
          <w:jc w:val="center"/>
        </w:trPr>
        <w:tc>
          <w:tcPr>
            <w:tcW w:w="2341" w:type="dxa"/>
            <w:vMerge/>
            <w:vAlign w:val="center"/>
          </w:tcPr>
          <w:p w:rsidR="0030402E" w:rsidRDefault="0030402E" w:rsidP="00E737B3">
            <w:pPr>
              <w:spacing w:line="560" w:lineRule="atLeast"/>
              <w:jc w:val="left"/>
              <w:rPr>
                <w:rFonts w:ascii="仿宋" w:eastAsia="仿宋" w:hAnsi="仿宋" w:cs="仿宋"/>
                <w:b/>
                <w:szCs w:val="21"/>
              </w:rPr>
            </w:pPr>
          </w:p>
        </w:tc>
        <w:tc>
          <w:tcPr>
            <w:tcW w:w="1276" w:type="dxa"/>
            <w:vMerge/>
            <w:vAlign w:val="center"/>
          </w:tcPr>
          <w:p w:rsidR="0030402E" w:rsidRDefault="0030402E" w:rsidP="00E737B3">
            <w:pPr>
              <w:spacing w:line="560" w:lineRule="atLeast"/>
              <w:jc w:val="left"/>
              <w:rPr>
                <w:rFonts w:ascii="仿宋" w:eastAsia="仿宋" w:hAnsi="仿宋" w:cs="仿宋"/>
                <w:szCs w:val="21"/>
              </w:rPr>
            </w:pPr>
          </w:p>
        </w:tc>
        <w:tc>
          <w:tcPr>
            <w:tcW w:w="2976" w:type="dxa"/>
            <w:vMerge/>
            <w:vAlign w:val="center"/>
          </w:tcPr>
          <w:p w:rsidR="0030402E" w:rsidRDefault="0030402E" w:rsidP="00E737B3">
            <w:pPr>
              <w:spacing w:line="560" w:lineRule="atLeast"/>
              <w:jc w:val="left"/>
              <w:rPr>
                <w:rFonts w:ascii="仿宋" w:eastAsia="仿宋" w:hAnsi="仿宋" w:cs="仿宋"/>
                <w:szCs w:val="21"/>
              </w:rPr>
            </w:pPr>
          </w:p>
        </w:tc>
        <w:tc>
          <w:tcPr>
            <w:tcW w:w="2976" w:type="dxa"/>
            <w:vMerge/>
            <w:vAlign w:val="center"/>
          </w:tcPr>
          <w:p w:rsidR="0030402E" w:rsidRDefault="0030402E" w:rsidP="00E737B3">
            <w:pPr>
              <w:spacing w:line="560" w:lineRule="atLeast"/>
              <w:jc w:val="left"/>
              <w:rPr>
                <w:rFonts w:ascii="仿宋" w:eastAsia="仿宋" w:hAnsi="仿宋" w:cs="仿宋"/>
                <w:szCs w:val="21"/>
              </w:rPr>
            </w:pPr>
          </w:p>
        </w:tc>
        <w:tc>
          <w:tcPr>
            <w:tcW w:w="1417"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施工图设计文件审查率</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&lt;90%</w:t>
            </w:r>
          </w:p>
        </w:tc>
      </w:tr>
      <w:bookmarkEnd w:id="2"/>
      <w:bookmarkEnd w:id="3"/>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t>二、城市容貌环境综合整治</w:t>
            </w:r>
          </w:p>
        </w:tc>
        <w:tc>
          <w:tcPr>
            <w:tcW w:w="1276" w:type="dxa"/>
            <w:vAlign w:val="center"/>
          </w:tcPr>
          <w:p w:rsidR="0030402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负责城区市容环境治理、城建监察等各项工作，改善人居环</w:t>
            </w:r>
            <w:r>
              <w:rPr>
                <w:rFonts w:ascii="仿宋" w:eastAsia="仿宋" w:hAnsi="仿宋" w:cs="仿宋" w:hint="eastAsia"/>
                <w:szCs w:val="21"/>
              </w:rPr>
              <w:lastRenderedPageBreak/>
              <w:t>境，</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lastRenderedPageBreak/>
              <w:t>推进洁净城市创建进程，</w:t>
            </w:r>
          </w:p>
        </w:tc>
        <w:tc>
          <w:tcPr>
            <w:tcW w:w="1417"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市容环境治理完成率</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&lt;90%</w:t>
            </w:r>
          </w:p>
        </w:tc>
      </w:tr>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lastRenderedPageBreak/>
              <w:t>三、推进城镇化建设</w:t>
            </w:r>
          </w:p>
        </w:tc>
        <w:tc>
          <w:tcPr>
            <w:tcW w:w="1276" w:type="dxa"/>
            <w:vAlign w:val="center"/>
          </w:tcPr>
          <w:p w:rsidR="0030402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负责农村危房改造，推进小城镇村庄人居环境改善</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加强村镇建设，改善农村人居环境，实现城乡统筹发展</w:t>
            </w:r>
          </w:p>
        </w:tc>
        <w:tc>
          <w:tcPr>
            <w:tcW w:w="1417" w:type="dxa"/>
            <w:vAlign w:val="center"/>
          </w:tcPr>
          <w:p w:rsidR="0030402E" w:rsidRDefault="0030402E" w:rsidP="00E737B3">
            <w:pPr>
              <w:spacing w:line="560" w:lineRule="atLeast"/>
              <w:jc w:val="left"/>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&lt;90%</w:t>
            </w:r>
          </w:p>
        </w:tc>
      </w:tr>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t>四、房地产市场监管</w:t>
            </w:r>
          </w:p>
        </w:tc>
        <w:tc>
          <w:tcPr>
            <w:tcW w:w="1276" w:type="dxa"/>
            <w:vAlign w:val="center"/>
          </w:tcPr>
          <w:p w:rsidR="0030402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规范房地产市场秩序、监督管理房地产市场。落实房地产市场监管、房地产开发、物业管理的规章制度。</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加强市场监测，促进全区房地产市场持续健康发展</w:t>
            </w:r>
          </w:p>
        </w:tc>
        <w:tc>
          <w:tcPr>
            <w:tcW w:w="1417"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房地产市场统计分析工作完成及时率</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&lt;90%</w:t>
            </w:r>
          </w:p>
        </w:tc>
      </w:tr>
      <w:tr w:rsidR="0030402E" w:rsidRPr="00AA19FE" w:rsidTr="00E737B3">
        <w:trPr>
          <w:trHeight w:val="881"/>
          <w:jc w:val="center"/>
        </w:trPr>
        <w:tc>
          <w:tcPr>
            <w:tcW w:w="2341" w:type="dxa"/>
            <w:vAlign w:val="center"/>
          </w:tcPr>
          <w:p w:rsidR="0030402E" w:rsidRPr="00AA19FE" w:rsidRDefault="0030402E" w:rsidP="00E737B3">
            <w:pPr>
              <w:spacing w:line="300" w:lineRule="exact"/>
              <w:jc w:val="left"/>
              <w:rPr>
                <w:rFonts w:ascii="方正书宋_GBK" w:eastAsia="方正书宋_GBK" w:hAnsi="Calibri" w:cs="黑体"/>
                <w:b/>
              </w:rPr>
            </w:pPr>
            <w:r>
              <w:rPr>
                <w:rFonts w:ascii="方正书宋_GBK" w:eastAsia="方正书宋_GBK" w:hAnsi="Calibri" w:cs="黑体" w:hint="eastAsia"/>
                <w:b/>
              </w:rPr>
              <w:t>五、</w:t>
            </w:r>
            <w:r w:rsidRPr="00AA19FE">
              <w:rPr>
                <w:rFonts w:ascii="方正书宋_GBK" w:eastAsia="方正书宋_GBK" w:hAnsi="Calibri" w:cs="黑体" w:hint="eastAsia"/>
                <w:b/>
              </w:rPr>
              <w:t>城乡规划</w:t>
            </w:r>
          </w:p>
        </w:tc>
        <w:tc>
          <w:tcPr>
            <w:tcW w:w="1276" w:type="dxa"/>
            <w:vAlign w:val="center"/>
          </w:tcPr>
          <w:p w:rsidR="0030402E" w:rsidRPr="00AA19FE" w:rsidRDefault="0030402E" w:rsidP="00E737B3">
            <w:pPr>
              <w:spacing w:line="300" w:lineRule="exact"/>
              <w:jc w:val="left"/>
              <w:rPr>
                <w:rFonts w:ascii="方正书宋_GBK" w:eastAsia="方正书宋_GBK" w:hAnsi="Calibri" w:cs="黑体"/>
              </w:rPr>
            </w:pPr>
          </w:p>
        </w:tc>
        <w:tc>
          <w:tcPr>
            <w:tcW w:w="2976" w:type="dxa"/>
            <w:vAlign w:val="center"/>
          </w:tcPr>
          <w:p w:rsidR="0030402E" w:rsidRPr="00AA19FE" w:rsidRDefault="0030402E" w:rsidP="00853453">
            <w:pPr>
              <w:spacing w:line="300" w:lineRule="exact"/>
              <w:jc w:val="left"/>
              <w:rPr>
                <w:rFonts w:ascii="方正书宋_GBK" w:eastAsia="方正书宋_GBK" w:hAnsi="Calibri" w:cs="黑体"/>
              </w:rPr>
            </w:pPr>
            <w:r w:rsidRPr="00AA19FE">
              <w:rPr>
                <w:rFonts w:ascii="方正书宋_GBK" w:eastAsia="方正书宋_GBK" w:hAnsi="Calibri" w:cs="黑体" w:hint="eastAsia"/>
              </w:rPr>
              <w:t>组织</w:t>
            </w:r>
            <w:r w:rsidR="00853453">
              <w:rPr>
                <w:rFonts w:ascii="方正书宋_GBK" w:eastAsia="方正书宋_GBK" w:hAnsi="Calibri" w:cs="黑体" w:hint="eastAsia"/>
              </w:rPr>
              <w:t>区</w:t>
            </w:r>
            <w:r w:rsidRPr="00AA19FE">
              <w:rPr>
                <w:rFonts w:ascii="方正书宋_GBK" w:eastAsia="方正书宋_GBK" w:hAnsi="Calibri" w:cs="黑体" w:hint="eastAsia"/>
              </w:rPr>
              <w:t>域城镇体系规划编制，参与各级、各部门依法编制总体规划、专项规划、控制性详细规划、历史文化名城和街区保护规划等。对由</w:t>
            </w:r>
            <w:r w:rsidR="00853453">
              <w:rPr>
                <w:rFonts w:ascii="方正书宋_GBK" w:eastAsia="方正书宋_GBK" w:hAnsi="Calibri" w:cs="黑体" w:hint="eastAsia"/>
              </w:rPr>
              <w:t>区</w:t>
            </w:r>
            <w:r w:rsidRPr="00AA19FE">
              <w:rPr>
                <w:rFonts w:ascii="方正书宋_GBK" w:eastAsia="方正书宋_GBK" w:hAnsi="Calibri" w:cs="黑体" w:hint="eastAsia"/>
              </w:rPr>
              <w:t>审批的规划进行监督实施。</w:t>
            </w: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加强城乡规划管理，协调城乡空间布局，改善人居环境，促进城乡经济社会全面协调可持续发展。</w:t>
            </w:r>
          </w:p>
        </w:tc>
        <w:tc>
          <w:tcPr>
            <w:tcW w:w="1417" w:type="dxa"/>
            <w:vAlign w:val="center"/>
          </w:tcPr>
          <w:p w:rsidR="0030402E" w:rsidRPr="00AA19FE" w:rsidRDefault="0030402E" w:rsidP="00E737B3">
            <w:pPr>
              <w:spacing w:line="300" w:lineRule="exact"/>
              <w:jc w:val="left"/>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r>
      <w:tr w:rsidR="0030402E" w:rsidRPr="00AA19FE" w:rsidTr="00E737B3">
        <w:trPr>
          <w:trHeight w:val="227"/>
          <w:jc w:val="center"/>
        </w:trPr>
        <w:tc>
          <w:tcPr>
            <w:tcW w:w="2341" w:type="dxa"/>
            <w:vAlign w:val="center"/>
          </w:tcPr>
          <w:p w:rsidR="0030402E" w:rsidRPr="00AA19FE" w:rsidRDefault="0030402E" w:rsidP="00E737B3">
            <w:pPr>
              <w:spacing w:line="300" w:lineRule="exact"/>
              <w:jc w:val="left"/>
              <w:rPr>
                <w:rFonts w:ascii="方正书宋_GBK" w:eastAsia="方正书宋_GBK" w:hAnsi="Calibri" w:cs="黑体"/>
                <w:b/>
              </w:rPr>
            </w:pPr>
            <w:r w:rsidRPr="00AA19FE">
              <w:rPr>
                <w:rFonts w:ascii="方正书宋_GBK" w:eastAsia="方正书宋_GBK" w:hAnsi="Calibri" w:cs="黑体"/>
                <w:b/>
              </w:rPr>
              <w:t>1</w:t>
            </w:r>
            <w:r w:rsidRPr="00AA19FE">
              <w:rPr>
                <w:rFonts w:ascii="方正书宋_GBK" w:eastAsia="方正书宋_GBK" w:hAnsi="Calibri" w:cs="黑体" w:hint="eastAsia"/>
                <w:b/>
              </w:rPr>
              <w:t>、村庄规划</w:t>
            </w:r>
          </w:p>
        </w:tc>
        <w:tc>
          <w:tcPr>
            <w:tcW w:w="1276" w:type="dxa"/>
            <w:vAlign w:val="center"/>
          </w:tcPr>
          <w:p w:rsidR="0030402E" w:rsidRPr="00AA19FE" w:rsidRDefault="0030402E" w:rsidP="00E737B3">
            <w:pPr>
              <w:spacing w:line="300" w:lineRule="exact"/>
              <w:jc w:val="left"/>
              <w:rPr>
                <w:rFonts w:ascii="方正书宋_GBK" w:eastAsia="方正书宋_GBK" w:hAnsi="Calibri" w:cs="黑体"/>
              </w:rPr>
            </w:pP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完成年度村庄工作任务</w:t>
            </w: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完成年度村镇规划编制任务</w:t>
            </w:r>
          </w:p>
        </w:tc>
        <w:tc>
          <w:tcPr>
            <w:tcW w:w="1417"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年度村镇规划编制完成率</w:t>
            </w: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r w:rsidRPr="00AA19FE">
              <w:rPr>
                <w:rFonts w:ascii="方正书宋_GBK" w:eastAsia="方正书宋_GBK" w:hAnsi="Calibri" w:cs="黑体" w:hint="eastAsia"/>
              </w:rPr>
              <w:t>≥</w:t>
            </w:r>
            <w:r w:rsidRPr="00AA19FE">
              <w:rPr>
                <w:rFonts w:ascii="方正书宋_GBK" w:eastAsia="方正书宋_GBK" w:hAnsi="Calibri" w:cs="黑体"/>
              </w:rPr>
              <w:t>95%</w:t>
            </w: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r w:rsidRPr="00AA19FE">
              <w:rPr>
                <w:rFonts w:ascii="方正书宋_GBK" w:eastAsia="方正书宋_GBK" w:hAnsi="Calibri" w:cs="黑体" w:hint="eastAsia"/>
              </w:rPr>
              <w:t>≥</w:t>
            </w:r>
            <w:r w:rsidRPr="00AA19FE">
              <w:rPr>
                <w:rFonts w:ascii="方正书宋_GBK" w:eastAsia="方正书宋_GBK" w:hAnsi="Calibri" w:cs="黑体"/>
              </w:rPr>
              <w:t>85%</w:t>
            </w: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r w:rsidRPr="00AA19FE">
              <w:rPr>
                <w:rFonts w:ascii="方正书宋_GBK" w:eastAsia="方正书宋_GBK" w:hAnsi="Calibri" w:cs="黑体" w:hint="eastAsia"/>
              </w:rPr>
              <w:t>≥</w:t>
            </w:r>
            <w:r w:rsidRPr="00AA19FE">
              <w:rPr>
                <w:rFonts w:ascii="方正书宋_GBK" w:eastAsia="方正书宋_GBK" w:hAnsi="Calibri" w:cs="黑体"/>
              </w:rPr>
              <w:t>75%</w:t>
            </w: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r w:rsidRPr="00AA19FE">
              <w:rPr>
                <w:rFonts w:ascii="方正书宋_GBK" w:eastAsia="方正书宋_GBK" w:hAnsi="Calibri" w:cs="黑体"/>
              </w:rPr>
              <w:t>&lt;75%</w:t>
            </w:r>
          </w:p>
        </w:tc>
      </w:tr>
      <w:tr w:rsidR="0030402E" w:rsidRPr="00AA19FE" w:rsidTr="00E737B3">
        <w:trPr>
          <w:trHeight w:val="227"/>
          <w:jc w:val="center"/>
        </w:trPr>
        <w:tc>
          <w:tcPr>
            <w:tcW w:w="2341" w:type="dxa"/>
            <w:vAlign w:val="center"/>
          </w:tcPr>
          <w:p w:rsidR="0030402E" w:rsidRPr="00AA19FE" w:rsidRDefault="0030402E" w:rsidP="00E737B3">
            <w:pPr>
              <w:spacing w:line="300" w:lineRule="exact"/>
              <w:jc w:val="left"/>
              <w:rPr>
                <w:rFonts w:ascii="方正书宋_GBK" w:eastAsia="方正书宋_GBK" w:hAnsi="Calibri" w:cs="黑体"/>
                <w:b/>
              </w:rPr>
            </w:pPr>
            <w:r>
              <w:rPr>
                <w:rFonts w:ascii="方正书宋_GBK" w:eastAsia="方正书宋_GBK" w:hAnsi="Calibri" w:cs="黑体" w:hint="eastAsia"/>
                <w:b/>
              </w:rPr>
              <w:t>六、</w:t>
            </w:r>
            <w:r w:rsidRPr="00AA19FE">
              <w:rPr>
                <w:rFonts w:ascii="方正书宋_GBK" w:eastAsia="方正书宋_GBK" w:hAnsi="Calibri" w:cs="黑体" w:hint="eastAsia"/>
                <w:b/>
              </w:rPr>
              <w:t>城乡规划</w:t>
            </w:r>
          </w:p>
        </w:tc>
        <w:tc>
          <w:tcPr>
            <w:tcW w:w="1276" w:type="dxa"/>
            <w:vAlign w:val="center"/>
          </w:tcPr>
          <w:p w:rsidR="0030402E" w:rsidRPr="00AA19FE" w:rsidRDefault="0030402E" w:rsidP="00E737B3">
            <w:pPr>
              <w:spacing w:line="300" w:lineRule="exact"/>
              <w:jc w:val="left"/>
              <w:rPr>
                <w:rFonts w:ascii="方正书宋_GBK" w:eastAsia="方正书宋_GBK" w:hAnsi="Calibri" w:cs="黑体"/>
              </w:rPr>
            </w:pP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依法编制总体规划、专项规划、控制性详细规划</w:t>
            </w: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加强城乡规划管理，协调城乡空间布局，改善人居环境，促</w:t>
            </w:r>
            <w:r w:rsidRPr="00AA19FE">
              <w:rPr>
                <w:rFonts w:ascii="方正书宋_GBK" w:eastAsia="方正书宋_GBK" w:hAnsi="Calibri" w:cs="黑体" w:hint="eastAsia"/>
              </w:rPr>
              <w:lastRenderedPageBreak/>
              <w:t>进城乡经济社会全面协调可持续发展。</w:t>
            </w:r>
          </w:p>
        </w:tc>
        <w:tc>
          <w:tcPr>
            <w:tcW w:w="1417" w:type="dxa"/>
            <w:vAlign w:val="center"/>
          </w:tcPr>
          <w:p w:rsidR="0030402E" w:rsidRPr="00AA19FE" w:rsidRDefault="0030402E" w:rsidP="00E737B3">
            <w:pPr>
              <w:spacing w:line="300" w:lineRule="exact"/>
              <w:jc w:val="left"/>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r>
      <w:tr w:rsidR="0030402E" w:rsidRPr="00AA19FE" w:rsidTr="00E737B3">
        <w:trPr>
          <w:trHeight w:val="1651"/>
          <w:jc w:val="center"/>
        </w:trPr>
        <w:tc>
          <w:tcPr>
            <w:tcW w:w="2341" w:type="dxa"/>
            <w:vAlign w:val="center"/>
          </w:tcPr>
          <w:p w:rsidR="0030402E" w:rsidRPr="00AA19FE" w:rsidRDefault="0030402E" w:rsidP="00E737B3">
            <w:pPr>
              <w:spacing w:line="300" w:lineRule="exact"/>
              <w:jc w:val="left"/>
              <w:rPr>
                <w:rFonts w:ascii="方正书宋_GBK" w:eastAsia="方正书宋_GBK" w:hAnsi="Calibri" w:cs="黑体"/>
                <w:b/>
              </w:rPr>
            </w:pPr>
            <w:r w:rsidRPr="00AA19FE">
              <w:rPr>
                <w:rFonts w:ascii="方正书宋_GBK" w:eastAsia="方正书宋_GBK" w:hAnsi="Calibri" w:cs="黑体"/>
                <w:b/>
              </w:rPr>
              <w:lastRenderedPageBreak/>
              <w:t>1</w:t>
            </w:r>
            <w:r w:rsidRPr="00AA19FE">
              <w:rPr>
                <w:rFonts w:ascii="方正书宋_GBK" w:eastAsia="方正书宋_GBK" w:hAnsi="Calibri" w:cs="黑体" w:hint="eastAsia"/>
                <w:b/>
              </w:rPr>
              <w:t>、编制规划</w:t>
            </w:r>
          </w:p>
        </w:tc>
        <w:tc>
          <w:tcPr>
            <w:tcW w:w="1276" w:type="dxa"/>
            <w:vAlign w:val="center"/>
          </w:tcPr>
          <w:p w:rsidR="0030402E" w:rsidRPr="00144BB3" w:rsidRDefault="0030402E" w:rsidP="00E737B3">
            <w:pPr>
              <w:spacing w:line="300" w:lineRule="exact"/>
              <w:jc w:val="left"/>
              <w:rPr>
                <w:rFonts w:ascii="方正书宋_GBK" w:hAnsi="Calibri" w:cs="黑体"/>
              </w:rPr>
            </w:pPr>
            <w:r>
              <w:rPr>
                <w:rFonts w:ascii="方正书宋_GBK" w:hAnsi="Calibri" w:cs="黑体" w:hint="eastAsia"/>
              </w:rPr>
              <w:t>200</w:t>
            </w: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完成年度规划编制工作</w:t>
            </w: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完成规划编制，健全规划体系</w:t>
            </w:r>
          </w:p>
        </w:tc>
        <w:tc>
          <w:tcPr>
            <w:tcW w:w="1417"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城乡规划编制进展情况</w:t>
            </w: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r w:rsidRPr="00AA19FE">
              <w:rPr>
                <w:rFonts w:ascii="方正书宋_GBK" w:eastAsia="方正书宋_GBK" w:hAnsi="Calibri" w:cs="黑体" w:hint="eastAsia"/>
              </w:rPr>
              <w:t>完成报审稿</w:t>
            </w: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r w:rsidRPr="00AA19FE">
              <w:rPr>
                <w:rFonts w:ascii="方正书宋_GBK" w:eastAsia="方正书宋_GBK" w:hAnsi="Calibri" w:cs="黑体" w:hint="eastAsia"/>
              </w:rPr>
              <w:t>基本完成本级规划编制工作</w:t>
            </w: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r w:rsidRPr="00AA19FE">
              <w:rPr>
                <w:rFonts w:ascii="方正书宋_GBK" w:eastAsia="方正书宋_GBK" w:hAnsi="Calibri" w:cs="黑体" w:hint="eastAsia"/>
              </w:rPr>
              <w:t>完成初稿</w:t>
            </w: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r w:rsidRPr="00AA19FE">
              <w:rPr>
                <w:rFonts w:ascii="方正书宋_GBK" w:eastAsia="方正书宋_GBK" w:hAnsi="Calibri" w:cs="黑体" w:hint="eastAsia"/>
              </w:rPr>
              <w:t>未开展</w:t>
            </w:r>
          </w:p>
        </w:tc>
      </w:tr>
      <w:tr w:rsidR="0030402E" w:rsidRPr="00AA19FE" w:rsidTr="00E737B3">
        <w:trPr>
          <w:trHeight w:val="227"/>
          <w:jc w:val="center"/>
        </w:trPr>
        <w:tc>
          <w:tcPr>
            <w:tcW w:w="2341" w:type="dxa"/>
            <w:vAlign w:val="center"/>
          </w:tcPr>
          <w:p w:rsidR="0030402E" w:rsidRPr="00AA19FE" w:rsidRDefault="0030402E" w:rsidP="00E737B3">
            <w:pPr>
              <w:spacing w:line="300" w:lineRule="exact"/>
              <w:jc w:val="left"/>
              <w:rPr>
                <w:rFonts w:ascii="方正书宋_GBK" w:eastAsia="方正书宋_GBK" w:hAnsi="Calibri" w:cs="黑体"/>
                <w:b/>
              </w:rPr>
            </w:pPr>
            <w:r>
              <w:rPr>
                <w:rFonts w:ascii="方正书宋_GBK" w:eastAsia="方正书宋_GBK" w:hAnsi="Calibri" w:cs="黑体" w:hint="eastAsia"/>
                <w:b/>
              </w:rPr>
              <w:t>七、</w:t>
            </w:r>
            <w:r w:rsidRPr="00AA19FE">
              <w:rPr>
                <w:rFonts w:ascii="方正书宋_GBK" w:eastAsia="方正书宋_GBK" w:hAnsi="Calibri" w:cs="黑体" w:hint="eastAsia"/>
                <w:b/>
              </w:rPr>
              <w:t>城乡规划</w:t>
            </w:r>
          </w:p>
        </w:tc>
        <w:tc>
          <w:tcPr>
            <w:tcW w:w="1276" w:type="dxa"/>
            <w:vAlign w:val="center"/>
          </w:tcPr>
          <w:p w:rsidR="0030402E" w:rsidRPr="00AA19FE" w:rsidRDefault="0030402E" w:rsidP="00E737B3">
            <w:pPr>
              <w:spacing w:line="300" w:lineRule="exact"/>
              <w:jc w:val="left"/>
              <w:rPr>
                <w:rFonts w:ascii="方正书宋_GBK" w:eastAsia="方正书宋_GBK" w:hAnsi="Calibri" w:cs="黑体"/>
              </w:rPr>
            </w:pP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负责规划综合业务管理</w:t>
            </w:r>
          </w:p>
        </w:tc>
        <w:tc>
          <w:tcPr>
            <w:tcW w:w="2976" w:type="dxa"/>
            <w:vAlign w:val="center"/>
          </w:tcPr>
          <w:p w:rsidR="0030402E" w:rsidRPr="00AA19FE" w:rsidRDefault="0030402E" w:rsidP="00E737B3">
            <w:pPr>
              <w:spacing w:line="300" w:lineRule="exact"/>
              <w:jc w:val="left"/>
              <w:rPr>
                <w:rFonts w:ascii="方正书宋_GBK" w:eastAsia="方正书宋_GBK" w:hAnsi="Calibri" w:cs="黑体"/>
              </w:rPr>
            </w:pPr>
            <w:r w:rsidRPr="00AA19FE">
              <w:rPr>
                <w:rFonts w:ascii="方正书宋_GBK" w:eastAsia="方正书宋_GBK" w:hAnsi="Calibri" w:cs="黑体" w:hint="eastAsia"/>
              </w:rPr>
              <w:t>加强全区乡规划人才队伍建设，提高人才业务素质，提高行业水平。提升机关及行业信息化水平，保障各类业务系统安全稳定运行；加大信息宣传力度，创造良好舆论氛围。规范审批行为，推进政务公开，增加服务意识，提高工作效率。</w:t>
            </w:r>
          </w:p>
        </w:tc>
        <w:tc>
          <w:tcPr>
            <w:tcW w:w="1417" w:type="dxa"/>
            <w:vAlign w:val="center"/>
          </w:tcPr>
          <w:p w:rsidR="0030402E" w:rsidRPr="00AA19FE" w:rsidRDefault="0030402E" w:rsidP="00E737B3">
            <w:pPr>
              <w:spacing w:line="300" w:lineRule="exact"/>
              <w:jc w:val="left"/>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c>
          <w:tcPr>
            <w:tcW w:w="737" w:type="dxa"/>
            <w:vAlign w:val="center"/>
          </w:tcPr>
          <w:p w:rsidR="0030402E" w:rsidRPr="00AA19FE" w:rsidRDefault="0030402E" w:rsidP="00E737B3">
            <w:pPr>
              <w:spacing w:line="300" w:lineRule="exact"/>
              <w:jc w:val="center"/>
              <w:rPr>
                <w:rFonts w:ascii="方正书宋_GBK" w:eastAsia="方正书宋_GBK" w:hAnsi="Calibri" w:cs="黑体"/>
              </w:rPr>
            </w:pPr>
          </w:p>
        </w:tc>
      </w:tr>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t>八、人防建设</w:t>
            </w:r>
          </w:p>
        </w:tc>
        <w:tc>
          <w:tcPr>
            <w:tcW w:w="1276" w:type="dxa"/>
            <w:vAlign w:val="center"/>
          </w:tcPr>
          <w:p w:rsidR="0030402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根据国家和省批准的防护标准和质量标准，对人民防空工程建设实施计划、技术和质量管理；指导和监管结合民用建筑</w:t>
            </w:r>
            <w:r>
              <w:rPr>
                <w:rFonts w:ascii="仿宋" w:eastAsia="仿宋" w:hAnsi="仿宋" w:cs="仿宋" w:hint="eastAsia"/>
                <w:szCs w:val="21"/>
              </w:rPr>
              <w:lastRenderedPageBreak/>
              <w:t>修建防空地下室的工作</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lastRenderedPageBreak/>
              <w:t>加强人防建设，实现在城市地下空间的开发和利用中监督落实人民防空要求的工作</w:t>
            </w:r>
          </w:p>
        </w:tc>
        <w:tc>
          <w:tcPr>
            <w:tcW w:w="1417"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建筑工程施工现场达标率</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≥85%</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&lt;86%</w:t>
            </w:r>
          </w:p>
        </w:tc>
      </w:tr>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lastRenderedPageBreak/>
              <w:t>1.人防建设与发展</w:t>
            </w:r>
          </w:p>
        </w:tc>
        <w:tc>
          <w:tcPr>
            <w:tcW w:w="1276" w:type="dxa"/>
            <w:vAlign w:val="center"/>
          </w:tcPr>
          <w:p w:rsidR="0030402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组织管理人民防空工程建设，开展人民防空宣传教育工作，依法收缴社会负担的人防建设费用，编制人民防空经费预决算</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根据国家和省批准的防护标准和质量标准，对人民防空工程建设实施计划、技术和质量管理；指导和监管结合民用建筑修建防空地下室的工作；监管人民防空工程维护管理和平时开发利用；在城市地下空间的开发和利用中监督落实人民防空要求的工作</w:t>
            </w:r>
          </w:p>
        </w:tc>
        <w:tc>
          <w:tcPr>
            <w:tcW w:w="1417" w:type="dxa"/>
            <w:vAlign w:val="center"/>
          </w:tcPr>
          <w:p w:rsidR="0030402E" w:rsidRDefault="0030402E" w:rsidP="00E737B3">
            <w:pPr>
              <w:spacing w:line="560" w:lineRule="atLeast"/>
              <w:jc w:val="left"/>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r>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t>九、建筑业、房地产市场监管</w:t>
            </w:r>
          </w:p>
        </w:tc>
        <w:tc>
          <w:tcPr>
            <w:tcW w:w="1276" w:type="dxa"/>
            <w:vAlign w:val="center"/>
          </w:tcPr>
          <w:p w:rsidR="0030402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规范建筑市场、工程造价管理及建筑工程招投标管理，落实工程建设、建筑业行业发展政</w:t>
            </w:r>
            <w:r>
              <w:rPr>
                <w:rFonts w:ascii="仿宋" w:eastAsia="仿宋" w:hAnsi="仿宋" w:cs="仿宋" w:hint="eastAsia"/>
                <w:szCs w:val="21"/>
              </w:rPr>
              <w:lastRenderedPageBreak/>
              <w:t>策、规章制度;落实房地产市场监管、房地产开发、房屋租赁、物业管理的规章制度。</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lastRenderedPageBreak/>
              <w:t>规范建筑市场各方主体行为，促进建筑市场健康发展。提高建筑工程质量，减少建筑安全</w:t>
            </w:r>
            <w:r>
              <w:rPr>
                <w:rFonts w:ascii="仿宋" w:eastAsia="仿宋" w:hAnsi="仿宋" w:cs="仿宋" w:hint="eastAsia"/>
                <w:szCs w:val="21"/>
              </w:rPr>
              <w:lastRenderedPageBreak/>
              <w:t>生产事故，提高行业水平。加强市场监测，促进全区房地产市场持续健康发展。</w:t>
            </w:r>
          </w:p>
        </w:tc>
        <w:tc>
          <w:tcPr>
            <w:tcW w:w="1417" w:type="dxa"/>
            <w:vAlign w:val="center"/>
          </w:tcPr>
          <w:p w:rsidR="0030402E" w:rsidRDefault="0030402E" w:rsidP="00E737B3">
            <w:pPr>
              <w:spacing w:line="560" w:lineRule="atLeast"/>
              <w:jc w:val="left"/>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r>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lastRenderedPageBreak/>
              <w:t>1.市政公用设施建设与管理</w:t>
            </w:r>
          </w:p>
        </w:tc>
        <w:tc>
          <w:tcPr>
            <w:tcW w:w="1276" w:type="dxa"/>
            <w:vAlign w:val="center"/>
          </w:tcPr>
          <w:p w:rsidR="0030402E" w:rsidRPr="001D208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负责市政公用事业建设、市政公用设施安全监察；</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市政公用事业建设、市政公用设施安全监察</w:t>
            </w:r>
          </w:p>
        </w:tc>
        <w:tc>
          <w:tcPr>
            <w:tcW w:w="1417"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市政公用事业基础设施建设及维护工作目标完成率</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100%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≥95%</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≥90%</w:t>
            </w:r>
          </w:p>
        </w:tc>
        <w:tc>
          <w:tcPr>
            <w:tcW w:w="737" w:type="dxa"/>
            <w:vAlign w:val="center"/>
          </w:tcPr>
          <w:p w:rsidR="0030402E" w:rsidRDefault="0030402E" w:rsidP="00E737B3">
            <w:pPr>
              <w:spacing w:line="560" w:lineRule="atLeast"/>
              <w:jc w:val="center"/>
              <w:rPr>
                <w:rFonts w:ascii="仿宋" w:eastAsia="仿宋" w:hAnsi="仿宋" w:cs="仿宋"/>
                <w:szCs w:val="21"/>
              </w:rPr>
            </w:pPr>
            <w:r>
              <w:rPr>
                <w:rFonts w:ascii="仿宋" w:eastAsia="仿宋" w:hAnsi="仿宋" w:cs="仿宋" w:hint="eastAsia"/>
                <w:szCs w:val="21"/>
              </w:rPr>
              <w:t>&lt;90%</w:t>
            </w:r>
          </w:p>
        </w:tc>
      </w:tr>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方正书宋_GBK" w:eastAsia="方正书宋_GBK" w:hint="eastAsia"/>
                <w:b/>
              </w:rPr>
              <w:t>2.对本行政区域内建设工程安全生产实施监督管理</w:t>
            </w:r>
          </w:p>
        </w:tc>
        <w:tc>
          <w:tcPr>
            <w:tcW w:w="1276" w:type="dxa"/>
            <w:vAlign w:val="center"/>
          </w:tcPr>
          <w:p w:rsidR="0030402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rPr>
                <w:rFonts w:ascii="仿宋" w:eastAsia="仿宋" w:hAnsi="仿宋" w:cs="仿宋"/>
                <w:szCs w:val="21"/>
              </w:rPr>
            </w:pPr>
            <w:r>
              <w:rPr>
                <w:rFonts w:ascii="仿宋" w:eastAsia="仿宋" w:hAnsi="仿宋" w:cs="仿宋" w:hint="eastAsia"/>
                <w:szCs w:val="21"/>
              </w:rPr>
              <w:t>负责新建、扩建、改建房屋建筑工程办理安全监督备案手续；负责全市房屋建设工程建筑起重机械设备的注册备案</w:t>
            </w:r>
          </w:p>
          <w:p w:rsidR="0030402E" w:rsidRDefault="0030402E" w:rsidP="00E737B3">
            <w:pPr>
              <w:rPr>
                <w:rFonts w:ascii="仿宋" w:eastAsia="仿宋" w:hAnsi="仿宋" w:cs="仿宋"/>
                <w:szCs w:val="21"/>
              </w:rPr>
            </w:pPr>
            <w:r>
              <w:rPr>
                <w:rFonts w:ascii="仿宋" w:eastAsia="仿宋" w:hAnsi="仿宋" w:cs="仿宋" w:hint="eastAsia"/>
                <w:szCs w:val="21"/>
              </w:rPr>
              <w:t>房屋建设工程建筑起重机械设备使用登记；对建筑施工过程中存在的安全生产违法、违规行为进行监督整改，并依法进行相应行政处罚；负责新建房</w:t>
            </w:r>
            <w:r>
              <w:rPr>
                <w:rFonts w:ascii="仿宋" w:eastAsia="仿宋" w:hAnsi="仿宋" w:cs="仿宋" w:hint="eastAsia"/>
                <w:szCs w:val="21"/>
              </w:rPr>
              <w:lastRenderedPageBreak/>
              <w:t>屋建筑施工工地扬尘防治工作的监管。落实工程建设、建筑业行业发展政策、规章制度;</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lastRenderedPageBreak/>
              <w:t>规范建筑市场各方主体行为，促进建筑市场健康发展。减少建筑安全生产事故，提高行业水平。</w:t>
            </w:r>
          </w:p>
        </w:tc>
        <w:tc>
          <w:tcPr>
            <w:tcW w:w="1417" w:type="dxa"/>
            <w:vAlign w:val="center"/>
          </w:tcPr>
          <w:p w:rsidR="0030402E" w:rsidRDefault="0030402E" w:rsidP="00E737B3">
            <w:pPr>
              <w:spacing w:line="560" w:lineRule="atLeast"/>
              <w:jc w:val="left"/>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r>
      <w:tr w:rsidR="0030402E" w:rsidTr="00E737B3">
        <w:trPr>
          <w:trHeight w:val="227"/>
          <w:jc w:val="center"/>
        </w:trPr>
        <w:tc>
          <w:tcPr>
            <w:tcW w:w="2341" w:type="dxa"/>
            <w:vAlign w:val="center"/>
          </w:tcPr>
          <w:p w:rsidR="0030402E" w:rsidRDefault="0030402E" w:rsidP="00E737B3">
            <w:pPr>
              <w:spacing w:line="560" w:lineRule="atLeast"/>
              <w:jc w:val="left"/>
              <w:rPr>
                <w:rFonts w:ascii="仿宋" w:eastAsia="仿宋" w:hAnsi="仿宋" w:cs="仿宋"/>
                <w:b/>
                <w:szCs w:val="21"/>
              </w:rPr>
            </w:pPr>
            <w:r>
              <w:rPr>
                <w:rFonts w:ascii="仿宋" w:eastAsia="仿宋" w:hAnsi="仿宋" w:cs="仿宋" w:hint="eastAsia"/>
                <w:b/>
                <w:szCs w:val="21"/>
              </w:rPr>
              <w:lastRenderedPageBreak/>
              <w:t>十、城乡建设管理</w:t>
            </w:r>
          </w:p>
        </w:tc>
        <w:tc>
          <w:tcPr>
            <w:tcW w:w="1276" w:type="dxa"/>
            <w:vAlign w:val="center"/>
          </w:tcPr>
          <w:p w:rsidR="0030402E" w:rsidRDefault="0030402E" w:rsidP="00E737B3">
            <w:pPr>
              <w:spacing w:line="560" w:lineRule="atLeast"/>
              <w:jc w:val="left"/>
              <w:rPr>
                <w:rFonts w:ascii="仿宋" w:eastAsia="仿宋" w:hAnsi="仿宋" w:cs="仿宋"/>
                <w:szCs w:val="21"/>
              </w:rPr>
            </w:pP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负责农村住房建设、住房安全和危房改造、农村垃圾整治监督管理</w:t>
            </w:r>
          </w:p>
        </w:tc>
        <w:tc>
          <w:tcPr>
            <w:tcW w:w="2976" w:type="dxa"/>
            <w:vAlign w:val="center"/>
          </w:tcPr>
          <w:p w:rsidR="0030402E" w:rsidRDefault="0030402E" w:rsidP="00E737B3">
            <w:pPr>
              <w:spacing w:line="560" w:lineRule="atLeast"/>
              <w:jc w:val="left"/>
              <w:rPr>
                <w:rFonts w:ascii="仿宋" w:eastAsia="仿宋" w:hAnsi="仿宋" w:cs="仿宋"/>
                <w:szCs w:val="21"/>
              </w:rPr>
            </w:pPr>
            <w:r>
              <w:rPr>
                <w:rFonts w:ascii="仿宋" w:eastAsia="仿宋" w:hAnsi="仿宋" w:cs="仿宋" w:hint="eastAsia"/>
                <w:szCs w:val="21"/>
              </w:rPr>
              <w:t>加强村镇建设，改善农村人居环境，实现城乡统筹发展。</w:t>
            </w:r>
          </w:p>
        </w:tc>
        <w:tc>
          <w:tcPr>
            <w:tcW w:w="1417" w:type="dxa"/>
            <w:vAlign w:val="center"/>
          </w:tcPr>
          <w:p w:rsidR="0030402E" w:rsidRDefault="0030402E" w:rsidP="00E737B3">
            <w:pPr>
              <w:spacing w:line="560" w:lineRule="atLeast"/>
              <w:jc w:val="left"/>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c>
          <w:tcPr>
            <w:tcW w:w="737" w:type="dxa"/>
            <w:vAlign w:val="center"/>
          </w:tcPr>
          <w:p w:rsidR="0030402E" w:rsidRDefault="0030402E" w:rsidP="00E737B3">
            <w:pPr>
              <w:spacing w:line="560" w:lineRule="atLeast"/>
              <w:jc w:val="center"/>
              <w:rPr>
                <w:rFonts w:ascii="仿宋" w:eastAsia="仿宋" w:hAnsi="仿宋" w:cs="仿宋"/>
                <w:szCs w:val="21"/>
              </w:rPr>
            </w:pPr>
          </w:p>
        </w:tc>
      </w:tr>
    </w:tbl>
    <w:p w:rsidR="0030402E" w:rsidRPr="0030402E" w:rsidRDefault="0030402E" w:rsidP="0030402E">
      <w:pPr>
        <w:pStyle w:val="a3"/>
        <w:shd w:val="clear" w:color="auto" w:fill="FFFFFF"/>
        <w:spacing w:before="0" w:beforeAutospacing="0" w:after="0" w:afterAutospacing="0" w:line="293" w:lineRule="atLeast"/>
        <w:rPr>
          <w:rFonts w:ascii="Tahoma" w:hAnsi="Tahoma" w:cs="Tahoma"/>
          <w:color w:val="333333"/>
          <w:sz w:val="20"/>
          <w:szCs w:val="20"/>
        </w:rPr>
      </w:pP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六、政府采购预算情况</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sidR="00E166BA">
        <w:rPr>
          <w:rFonts w:cs="Tahoma" w:hint="eastAsia"/>
          <w:color w:val="333333"/>
          <w:sz w:val="32"/>
          <w:szCs w:val="32"/>
        </w:rPr>
        <w:t xml:space="preserve">  </w:t>
      </w:r>
      <w:r>
        <w:rPr>
          <w:rFonts w:cs="Tahoma"/>
          <w:color w:val="333333"/>
          <w:sz w:val="32"/>
          <w:szCs w:val="32"/>
        </w:rPr>
        <w:t> 无政府采购预算情况。</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七、国有资产信息情况</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sidR="00E166BA">
        <w:rPr>
          <w:rFonts w:cs="Tahoma" w:hint="eastAsia"/>
          <w:color w:val="333333"/>
          <w:sz w:val="32"/>
          <w:szCs w:val="32"/>
        </w:rPr>
        <w:t xml:space="preserve">  </w:t>
      </w:r>
      <w:r>
        <w:rPr>
          <w:rFonts w:cs="Tahoma"/>
          <w:color w:val="333333"/>
          <w:sz w:val="32"/>
          <w:szCs w:val="32"/>
        </w:rPr>
        <w:t>我局自建局以来，总计形成固定资产总额1020.54万元；其中房屋及建筑物967.13万元；运输设备22.36万元；通用设备29.95万元。；家具、用具、装具及动植物1.1万元</w:t>
      </w:r>
      <w:r>
        <w:rPr>
          <w:rFonts w:cs="Tahoma" w:hint="eastAsia"/>
          <w:color w:val="333333"/>
          <w:sz w:val="32"/>
          <w:szCs w:val="32"/>
        </w:rPr>
        <w:t>。</w:t>
      </w:r>
      <w:r>
        <w:rPr>
          <w:rFonts w:cs="Times New Roman" w:hint="eastAsia"/>
          <w:bCs/>
          <w:sz w:val="32"/>
          <w:szCs w:val="32"/>
        </w:rPr>
        <w:t>本年度拟不购置国有资产。</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八、专业名词解释</w:t>
      </w:r>
    </w:p>
    <w:p w:rsidR="006B1A7D" w:rsidRPr="003F6C10" w:rsidRDefault="001C04F0" w:rsidP="003F6C10">
      <w:pPr>
        <w:pStyle w:val="a3"/>
        <w:shd w:val="clear" w:color="auto" w:fill="FFFFFF"/>
        <w:spacing w:before="0" w:beforeAutospacing="0" w:after="0" w:afterAutospacing="0" w:line="570" w:lineRule="exact"/>
        <w:ind w:firstLineChars="200" w:firstLine="640"/>
        <w:rPr>
          <w:rFonts w:cs="Tahoma"/>
          <w:color w:val="333333"/>
          <w:sz w:val="32"/>
          <w:szCs w:val="32"/>
        </w:rPr>
      </w:pPr>
      <w:r w:rsidRPr="003F6C10">
        <w:rPr>
          <w:rFonts w:cs="Tahoma"/>
          <w:color w:val="333333"/>
          <w:sz w:val="32"/>
          <w:szCs w:val="32"/>
        </w:rPr>
        <w:lastRenderedPageBreak/>
        <w:t>1、一般</w:t>
      </w:r>
      <w:r w:rsidR="00853453">
        <w:rPr>
          <w:rFonts w:cs="Tahoma" w:hint="eastAsia"/>
          <w:color w:val="333333"/>
          <w:sz w:val="32"/>
          <w:szCs w:val="32"/>
        </w:rPr>
        <w:t>公</w:t>
      </w:r>
      <w:r w:rsidRPr="003F6C10">
        <w:rPr>
          <w:rFonts w:cs="Tahoma"/>
          <w:color w:val="333333"/>
          <w:sz w:val="32"/>
          <w:szCs w:val="32"/>
        </w:rPr>
        <w:t xml:space="preserve">共预算拨款收入：指省级财政当年拨付的资金。 </w:t>
      </w:r>
    </w:p>
    <w:p w:rsidR="006B1A7D" w:rsidRPr="003F6C10" w:rsidRDefault="001C04F0" w:rsidP="003F6C10">
      <w:pPr>
        <w:pStyle w:val="a3"/>
        <w:shd w:val="clear" w:color="auto" w:fill="FFFFFF"/>
        <w:spacing w:before="0" w:beforeAutospacing="0" w:after="0" w:afterAutospacing="0" w:line="570" w:lineRule="exact"/>
        <w:ind w:firstLineChars="200" w:firstLine="640"/>
        <w:rPr>
          <w:rFonts w:cs="Tahoma"/>
          <w:color w:val="333333"/>
          <w:sz w:val="32"/>
          <w:szCs w:val="32"/>
        </w:rPr>
      </w:pPr>
      <w:r w:rsidRPr="003F6C10">
        <w:rPr>
          <w:rFonts w:cs="Tahoma" w:hint="eastAsia"/>
          <w:color w:val="333333"/>
          <w:sz w:val="32"/>
          <w:szCs w:val="32"/>
        </w:rPr>
        <w:t>2</w:t>
      </w:r>
      <w:r w:rsidRPr="003F6C10">
        <w:rPr>
          <w:rFonts w:cs="Tahoma"/>
          <w:color w:val="333333"/>
          <w:sz w:val="32"/>
          <w:szCs w:val="32"/>
        </w:rPr>
        <w:t xml:space="preserve">、其他收入：指除上述“财政拨款收入”、“事业收入”等以外的收入。主要是按规定动用的租房 收入、存款利息收入、中国清洁发展基金拨入的管理费等。 </w:t>
      </w:r>
    </w:p>
    <w:p w:rsidR="006B1A7D" w:rsidRPr="003F6C10" w:rsidRDefault="001C04F0" w:rsidP="003F6C10">
      <w:pPr>
        <w:pStyle w:val="a3"/>
        <w:shd w:val="clear" w:color="auto" w:fill="FFFFFF"/>
        <w:spacing w:before="0" w:beforeAutospacing="0" w:after="0" w:afterAutospacing="0" w:line="570" w:lineRule="exact"/>
        <w:ind w:firstLineChars="200" w:firstLine="640"/>
        <w:rPr>
          <w:rFonts w:cs="Tahoma"/>
          <w:color w:val="333333"/>
          <w:sz w:val="32"/>
          <w:szCs w:val="32"/>
        </w:rPr>
      </w:pPr>
      <w:r w:rsidRPr="003F6C10">
        <w:rPr>
          <w:rFonts w:cs="Tahoma" w:hint="eastAsia"/>
          <w:color w:val="333333"/>
          <w:sz w:val="32"/>
          <w:szCs w:val="32"/>
        </w:rPr>
        <w:t>3</w:t>
      </w:r>
      <w:r w:rsidRPr="003F6C10">
        <w:rPr>
          <w:rFonts w:cs="Tahoma"/>
          <w:color w:val="333333"/>
          <w:sz w:val="32"/>
          <w:szCs w:val="32"/>
        </w:rPr>
        <w:t>、基本支出：指为保障机构正常运转、完成日常工作任务而发生的人员支出和公用支出。</w:t>
      </w:r>
    </w:p>
    <w:p w:rsidR="006B1A7D" w:rsidRPr="003F6C10" w:rsidRDefault="001C04F0" w:rsidP="003F6C10">
      <w:pPr>
        <w:pStyle w:val="a3"/>
        <w:shd w:val="clear" w:color="auto" w:fill="FFFFFF"/>
        <w:spacing w:before="0" w:beforeAutospacing="0" w:after="0" w:afterAutospacing="0" w:line="570" w:lineRule="exact"/>
        <w:ind w:firstLineChars="200" w:firstLine="640"/>
        <w:rPr>
          <w:rFonts w:cs="Tahoma"/>
          <w:color w:val="333333"/>
          <w:sz w:val="32"/>
          <w:szCs w:val="32"/>
        </w:rPr>
      </w:pPr>
      <w:r w:rsidRPr="003F6C10">
        <w:rPr>
          <w:rFonts w:cs="Tahoma" w:hint="eastAsia"/>
          <w:color w:val="333333"/>
          <w:sz w:val="32"/>
          <w:szCs w:val="32"/>
        </w:rPr>
        <w:t>4</w:t>
      </w:r>
      <w:r w:rsidRPr="003F6C10">
        <w:rPr>
          <w:rFonts w:cs="Tahoma"/>
          <w:color w:val="333333"/>
          <w:sz w:val="32"/>
          <w:szCs w:val="32"/>
        </w:rPr>
        <w:t xml:space="preserve">、项目支出：指在基本支出之外为完成特定行政任务和事业发展目标所发生的支出。 </w:t>
      </w:r>
    </w:p>
    <w:p w:rsidR="006B1A7D" w:rsidRPr="003F6C10" w:rsidRDefault="001C04F0" w:rsidP="003F6C10">
      <w:pPr>
        <w:pStyle w:val="a3"/>
        <w:shd w:val="clear" w:color="auto" w:fill="FFFFFF"/>
        <w:spacing w:before="0" w:beforeAutospacing="0" w:after="0" w:afterAutospacing="0" w:line="570" w:lineRule="exact"/>
        <w:ind w:firstLineChars="200" w:firstLine="640"/>
        <w:rPr>
          <w:rFonts w:cs="Tahoma"/>
          <w:color w:val="333333"/>
          <w:sz w:val="32"/>
          <w:szCs w:val="32"/>
        </w:rPr>
      </w:pPr>
      <w:r w:rsidRPr="003F6C10">
        <w:rPr>
          <w:rFonts w:cs="Tahoma" w:hint="eastAsia"/>
          <w:color w:val="333333"/>
          <w:sz w:val="32"/>
          <w:szCs w:val="32"/>
        </w:rPr>
        <w:t>5</w:t>
      </w:r>
      <w:r w:rsidRPr="003F6C10">
        <w:rPr>
          <w:rFonts w:cs="Tahoma"/>
          <w:color w:val="333333"/>
          <w:sz w:val="32"/>
          <w:szCs w:val="32"/>
        </w:rPr>
        <w:t xml:space="preserve">、“三公”经费：纳入省级财政预算管理的“三公”经费，是指省级部门用财政拨款安排的因公出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6B1A7D" w:rsidRDefault="001C04F0" w:rsidP="003F6C10">
      <w:pPr>
        <w:pStyle w:val="a3"/>
        <w:shd w:val="clear" w:color="auto" w:fill="FFFFFF"/>
        <w:spacing w:before="0" w:beforeAutospacing="0" w:after="0" w:afterAutospacing="0" w:line="570" w:lineRule="exact"/>
        <w:ind w:firstLineChars="200" w:firstLine="640"/>
        <w:rPr>
          <w:rFonts w:cs="Tahoma"/>
          <w:color w:val="333333"/>
          <w:sz w:val="32"/>
          <w:szCs w:val="32"/>
        </w:rPr>
      </w:pPr>
      <w:r w:rsidRPr="003F6C10">
        <w:rPr>
          <w:rFonts w:cs="Tahoma" w:hint="eastAsia"/>
          <w:color w:val="333333"/>
          <w:sz w:val="32"/>
          <w:szCs w:val="32"/>
        </w:rPr>
        <w:t>6</w:t>
      </w:r>
      <w:r w:rsidRPr="003F6C10">
        <w:rPr>
          <w:rFonts w:cs="Tahoma"/>
          <w:color w:val="333333"/>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rsidR="0030402E" w:rsidRPr="003F6C10" w:rsidRDefault="0030402E" w:rsidP="003F6C10">
      <w:pPr>
        <w:pStyle w:val="a3"/>
        <w:shd w:val="clear" w:color="auto" w:fill="FFFFFF"/>
        <w:spacing w:before="0" w:beforeAutospacing="0" w:after="0" w:afterAutospacing="0" w:line="570" w:lineRule="exact"/>
        <w:ind w:firstLineChars="200" w:firstLine="640"/>
        <w:rPr>
          <w:rFonts w:cs="Tahoma"/>
          <w:color w:val="333333"/>
          <w:sz w:val="32"/>
          <w:szCs w:val="32"/>
        </w:rPr>
      </w:pP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b/>
          <w:bCs/>
          <w:color w:val="333333"/>
          <w:sz w:val="32"/>
          <w:szCs w:val="32"/>
        </w:rPr>
        <w:t>九、其他需说明的事项</w:t>
      </w:r>
    </w:p>
    <w:p w:rsidR="006B1A7D" w:rsidRDefault="001C04F0">
      <w:pPr>
        <w:pStyle w:val="a3"/>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w:t>
      </w:r>
      <w:r>
        <w:rPr>
          <w:rStyle w:val="apple-converted-space"/>
          <w:rFonts w:cs="Tahoma"/>
          <w:color w:val="333333"/>
          <w:sz w:val="32"/>
          <w:szCs w:val="32"/>
        </w:rPr>
        <w:t> </w:t>
      </w:r>
      <w:r>
        <w:rPr>
          <w:rFonts w:cs="Tahoma"/>
          <w:color w:val="333333"/>
          <w:sz w:val="32"/>
          <w:szCs w:val="32"/>
        </w:rPr>
        <w:t>无其他需说明的事项。</w:t>
      </w:r>
    </w:p>
    <w:p w:rsidR="006B1A7D" w:rsidRDefault="006B1A7D"/>
    <w:sectPr w:rsidR="006B1A7D" w:rsidSect="0030402E">
      <w:head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5A4" w:rsidRDefault="000E75A4" w:rsidP="003F6C10">
      <w:r>
        <w:separator/>
      </w:r>
    </w:p>
  </w:endnote>
  <w:endnote w:type="continuationSeparator" w:id="1">
    <w:p w:rsidR="000E75A4" w:rsidRDefault="000E75A4" w:rsidP="003F6C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宋体"/>
    <w:charset w:val="86"/>
    <w:family w:val="auto"/>
    <w:pitch w:val="default"/>
    <w:sig w:usb0="00000001" w:usb1="080E0000" w:usb2="00000010" w:usb3="00000000" w:csb0="00040000" w:csb1="00000000"/>
  </w:font>
  <w:font w:name="方正书宋_GBK">
    <w:altName w:val="宋体"/>
    <w:charset w:val="86"/>
    <w:family w:val="auto"/>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5A4" w:rsidRDefault="000E75A4" w:rsidP="003F6C10">
      <w:r>
        <w:separator/>
      </w:r>
    </w:p>
  </w:footnote>
  <w:footnote w:type="continuationSeparator" w:id="1">
    <w:p w:rsidR="000E75A4" w:rsidRDefault="000E75A4" w:rsidP="003F6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10" w:rsidRDefault="003F6C10" w:rsidP="00943A6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758"/>
    <w:rsid w:val="000E75A4"/>
    <w:rsid w:val="001C04F0"/>
    <w:rsid w:val="00272E7B"/>
    <w:rsid w:val="00280DC1"/>
    <w:rsid w:val="0030402E"/>
    <w:rsid w:val="003F6C10"/>
    <w:rsid w:val="00423BE4"/>
    <w:rsid w:val="00511287"/>
    <w:rsid w:val="00615E4C"/>
    <w:rsid w:val="00624602"/>
    <w:rsid w:val="006B1A7D"/>
    <w:rsid w:val="00853453"/>
    <w:rsid w:val="00857989"/>
    <w:rsid w:val="00943A67"/>
    <w:rsid w:val="009452D3"/>
    <w:rsid w:val="009A4F60"/>
    <w:rsid w:val="00A44373"/>
    <w:rsid w:val="00A91A4C"/>
    <w:rsid w:val="00A928FD"/>
    <w:rsid w:val="00AC1C44"/>
    <w:rsid w:val="00B01FE8"/>
    <w:rsid w:val="00B36582"/>
    <w:rsid w:val="00B827BB"/>
    <w:rsid w:val="00D95D1C"/>
    <w:rsid w:val="00E166BA"/>
    <w:rsid w:val="00E32572"/>
    <w:rsid w:val="00E74758"/>
    <w:rsid w:val="03A021D6"/>
    <w:rsid w:val="116146EE"/>
    <w:rsid w:val="248B1A45"/>
    <w:rsid w:val="289E1C9B"/>
    <w:rsid w:val="2D586C8A"/>
    <w:rsid w:val="2E120CB4"/>
    <w:rsid w:val="338A5C0D"/>
    <w:rsid w:val="38E666C1"/>
    <w:rsid w:val="405808C1"/>
    <w:rsid w:val="55B305F9"/>
    <w:rsid w:val="5A644F5B"/>
    <w:rsid w:val="5DBA1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A7D"/>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6B1A7D"/>
    <w:rPr>
      <w:b/>
      <w:bCs/>
    </w:rPr>
  </w:style>
  <w:style w:type="character" w:customStyle="1" w:styleId="apple-converted-space">
    <w:name w:val="apple-converted-space"/>
    <w:basedOn w:val="a0"/>
    <w:rsid w:val="006B1A7D"/>
  </w:style>
  <w:style w:type="paragraph" w:styleId="a5">
    <w:name w:val="header"/>
    <w:basedOn w:val="a"/>
    <w:link w:val="Char"/>
    <w:uiPriority w:val="99"/>
    <w:semiHidden/>
    <w:unhideWhenUsed/>
    <w:rsid w:val="003F6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F6C10"/>
    <w:rPr>
      <w:kern w:val="2"/>
      <w:sz w:val="18"/>
      <w:szCs w:val="18"/>
    </w:rPr>
  </w:style>
  <w:style w:type="paragraph" w:styleId="a6">
    <w:name w:val="footer"/>
    <w:basedOn w:val="a"/>
    <w:link w:val="Char0"/>
    <w:uiPriority w:val="99"/>
    <w:semiHidden/>
    <w:unhideWhenUsed/>
    <w:rsid w:val="003F6C1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F6C10"/>
    <w:rPr>
      <w:kern w:val="2"/>
      <w:sz w:val="18"/>
      <w:szCs w:val="18"/>
    </w:rPr>
  </w:style>
  <w:style w:type="paragraph" w:styleId="a7">
    <w:name w:val="Document Map"/>
    <w:basedOn w:val="a"/>
    <w:link w:val="Char1"/>
    <w:uiPriority w:val="99"/>
    <w:semiHidden/>
    <w:unhideWhenUsed/>
    <w:rsid w:val="00853453"/>
    <w:rPr>
      <w:rFonts w:ascii="宋体" w:eastAsia="宋体"/>
      <w:sz w:val="18"/>
      <w:szCs w:val="18"/>
    </w:rPr>
  </w:style>
  <w:style w:type="character" w:customStyle="1" w:styleId="Char1">
    <w:name w:val="文档结构图 Char"/>
    <w:basedOn w:val="a0"/>
    <w:link w:val="a7"/>
    <w:uiPriority w:val="99"/>
    <w:semiHidden/>
    <w:rsid w:val="00853453"/>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690</Words>
  <Characters>3938</Characters>
  <Application>Microsoft Office Word</Application>
  <DocSecurity>0</DocSecurity>
  <Lines>32</Lines>
  <Paragraphs>9</Paragraphs>
  <ScaleCrop>false</ScaleCrop>
  <Company>Microsoft</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2018-06-22T01:34:00Z</dcterms:created>
  <dcterms:modified xsi:type="dcterms:W3CDTF">2019-02-21T01:17:00Z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