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C5" w:rsidRDefault="004E28DA">
      <w:pPr>
        <w:pStyle w:val="a6"/>
        <w:shd w:val="clear" w:color="auto" w:fill="FFFFFF"/>
        <w:spacing w:before="0" w:beforeAutospacing="0" w:after="0" w:afterAutospacing="0" w:line="293" w:lineRule="atLeast"/>
        <w:jc w:val="center"/>
        <w:rPr>
          <w:rFonts w:cs="Tahoma"/>
          <w:b/>
          <w:bCs/>
          <w:color w:val="333333"/>
          <w:sz w:val="36"/>
          <w:szCs w:val="36"/>
        </w:rPr>
      </w:pPr>
      <w:r>
        <w:rPr>
          <w:rFonts w:cs="Tahoma" w:hint="eastAsia"/>
          <w:b/>
          <w:bCs/>
          <w:color w:val="333333"/>
          <w:sz w:val="36"/>
          <w:szCs w:val="36"/>
        </w:rPr>
        <w:t>唐山市芦台经济开发区城乡</w:t>
      </w:r>
      <w:r>
        <w:rPr>
          <w:rFonts w:cs="Tahoma"/>
          <w:b/>
          <w:bCs/>
          <w:color w:val="333333"/>
          <w:sz w:val="36"/>
          <w:szCs w:val="36"/>
        </w:rPr>
        <w:t>规划</w:t>
      </w:r>
      <w:r>
        <w:rPr>
          <w:rFonts w:cs="Tahoma" w:hint="eastAsia"/>
          <w:b/>
          <w:bCs/>
          <w:color w:val="333333"/>
          <w:sz w:val="36"/>
          <w:szCs w:val="36"/>
        </w:rPr>
        <w:t>建设管理局</w:t>
      </w:r>
    </w:p>
    <w:p w:rsidR="00F001C5" w:rsidRDefault="004E28DA">
      <w:pPr>
        <w:pStyle w:val="a6"/>
        <w:shd w:val="clear" w:color="auto" w:fill="FFFFFF"/>
        <w:spacing w:before="0" w:beforeAutospacing="0" w:after="0" w:afterAutospacing="0" w:line="293" w:lineRule="atLeast"/>
        <w:jc w:val="center"/>
        <w:rPr>
          <w:rFonts w:ascii="Tahoma" w:hAnsi="Tahoma" w:cs="Tahoma"/>
          <w:color w:val="333333"/>
          <w:sz w:val="36"/>
          <w:szCs w:val="36"/>
        </w:rPr>
      </w:pPr>
      <w:r>
        <w:rPr>
          <w:rFonts w:cs="Tahoma" w:hint="eastAsia"/>
          <w:b/>
          <w:bCs/>
          <w:color w:val="333333"/>
          <w:sz w:val="36"/>
          <w:szCs w:val="36"/>
        </w:rPr>
        <w:t>关于</w:t>
      </w:r>
      <w:r>
        <w:rPr>
          <w:rFonts w:cs="Tahoma"/>
          <w:b/>
          <w:bCs/>
          <w:color w:val="333333"/>
          <w:sz w:val="36"/>
          <w:szCs w:val="36"/>
        </w:rPr>
        <w:t>201</w:t>
      </w:r>
      <w:r>
        <w:rPr>
          <w:rFonts w:cs="Tahoma" w:hint="eastAsia"/>
          <w:b/>
          <w:bCs/>
          <w:color w:val="333333"/>
          <w:sz w:val="36"/>
          <w:szCs w:val="36"/>
        </w:rPr>
        <w:t>9</w:t>
      </w:r>
      <w:r>
        <w:rPr>
          <w:rFonts w:cs="Tahoma"/>
          <w:b/>
          <w:bCs/>
          <w:color w:val="333333"/>
          <w:sz w:val="36"/>
          <w:szCs w:val="36"/>
        </w:rPr>
        <w:t>年部门预算</w:t>
      </w:r>
      <w:r>
        <w:rPr>
          <w:rFonts w:cs="Tahoma" w:hint="eastAsia"/>
          <w:b/>
          <w:bCs/>
          <w:color w:val="333333"/>
          <w:sz w:val="36"/>
          <w:szCs w:val="36"/>
        </w:rPr>
        <w:t>信息</w:t>
      </w:r>
      <w:r>
        <w:rPr>
          <w:rFonts w:cs="Tahoma"/>
          <w:b/>
          <w:bCs/>
          <w:color w:val="333333"/>
          <w:sz w:val="36"/>
          <w:szCs w:val="36"/>
        </w:rPr>
        <w:t>公开</w:t>
      </w:r>
      <w:r>
        <w:rPr>
          <w:rFonts w:cs="Tahoma" w:hint="eastAsia"/>
          <w:b/>
          <w:bCs/>
          <w:color w:val="333333"/>
          <w:sz w:val="36"/>
          <w:szCs w:val="36"/>
        </w:rPr>
        <w:t>的说明</w:t>
      </w:r>
    </w:p>
    <w:p w:rsidR="00F001C5" w:rsidRDefault="004E28DA">
      <w:pPr>
        <w:pStyle w:val="a6"/>
        <w:shd w:val="clear" w:color="auto" w:fill="FFFFFF"/>
        <w:spacing w:before="0" w:beforeAutospacing="0" w:after="0" w:afterAutospacing="0" w:line="293" w:lineRule="atLeast"/>
        <w:rPr>
          <w:rFonts w:ascii="Tahoma" w:hAnsi="Tahoma" w:cs="Tahoma"/>
          <w:color w:val="333333"/>
          <w:sz w:val="36"/>
          <w:szCs w:val="36"/>
        </w:rPr>
      </w:pPr>
      <w:r>
        <w:rPr>
          <w:rFonts w:cs="Tahoma"/>
          <w:b/>
          <w:bCs/>
          <w:color w:val="333333"/>
          <w:sz w:val="32"/>
          <w:szCs w:val="32"/>
        </w:rPr>
        <w:t>一、部门职责、机构设置等基本情况</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hint="eastAsia"/>
          <w:b/>
          <w:bCs/>
          <w:color w:val="333333"/>
          <w:sz w:val="32"/>
          <w:szCs w:val="32"/>
        </w:rPr>
        <w:t>（一）</w:t>
      </w:r>
      <w:r>
        <w:rPr>
          <w:rFonts w:cs="Tahoma"/>
          <w:b/>
          <w:bCs/>
          <w:color w:val="333333"/>
          <w:sz w:val="32"/>
          <w:szCs w:val="32"/>
        </w:rPr>
        <w:t>部门职责</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规划建设管理局，按照国家的法律、法规负责全区的规划建设项目，工程质量监督、建筑业管理、房产登记过户、村镇建设。主要职责是：</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lastRenderedPageBreak/>
        <w:t>    7、负责处理区内工程质量和事故，对不合格的工程进行查处。</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9、负责全区房政管理工作，廉租住房和经济适用住房的管理；房产行业和房产交易市场的管理；组织、领导和监督城市房屋拆迁管理；指导、监督物业管理；负责城市危险房屋管理的工作。</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rsidR="00F001C5" w:rsidRDefault="004E28DA">
      <w:pPr>
        <w:pStyle w:val="a6"/>
        <w:shd w:val="clear" w:color="auto" w:fill="FFFFFF"/>
        <w:spacing w:before="0" w:beforeAutospacing="0" w:after="0" w:afterAutospacing="0" w:line="293" w:lineRule="atLeast"/>
        <w:ind w:firstLineChars="200" w:firstLine="643"/>
        <w:rPr>
          <w:rFonts w:cs="Tahoma"/>
          <w:b/>
          <w:bCs/>
          <w:color w:val="333333"/>
          <w:sz w:val="32"/>
          <w:szCs w:val="32"/>
        </w:rPr>
      </w:pPr>
      <w:r>
        <w:rPr>
          <w:rFonts w:cs="Tahoma" w:hint="eastAsia"/>
          <w:b/>
          <w:bCs/>
          <w:color w:val="333333"/>
          <w:sz w:val="32"/>
          <w:szCs w:val="32"/>
        </w:rPr>
        <w:t>（二）</w:t>
      </w:r>
      <w:r>
        <w:rPr>
          <w:rFonts w:cs="Tahoma"/>
          <w:b/>
          <w:bCs/>
          <w:color w:val="333333"/>
          <w:sz w:val="32"/>
          <w:szCs w:val="32"/>
        </w:rPr>
        <w:t>机构设置</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F001C5">
        <w:trPr>
          <w:trHeight w:val="300"/>
          <w:tblHeader/>
          <w:jc w:val="center"/>
        </w:trPr>
        <w:tc>
          <w:tcPr>
            <w:tcW w:w="4417" w:type="dxa"/>
            <w:vMerge w:val="restart"/>
            <w:vAlign w:val="center"/>
          </w:tcPr>
          <w:p w:rsidR="00F001C5" w:rsidRDefault="004E28DA">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F001C5" w:rsidRDefault="004E28DA">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F001C5" w:rsidRDefault="004E28DA">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F001C5" w:rsidRDefault="004E28DA">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F001C5">
        <w:trPr>
          <w:trHeight w:val="300"/>
          <w:tblHeader/>
          <w:jc w:val="center"/>
        </w:trPr>
        <w:tc>
          <w:tcPr>
            <w:tcW w:w="4417" w:type="dxa"/>
            <w:vMerge/>
            <w:vAlign w:val="center"/>
          </w:tcPr>
          <w:p w:rsidR="00F001C5" w:rsidRDefault="00F001C5">
            <w:pPr>
              <w:spacing w:line="300" w:lineRule="exact"/>
              <w:jc w:val="left"/>
              <w:outlineLvl w:val="0"/>
              <w:rPr>
                <w:rFonts w:ascii="宋体" w:hAnsi="宋体" w:cs="宋体"/>
                <w:sz w:val="32"/>
                <w:szCs w:val="32"/>
              </w:rPr>
            </w:pPr>
          </w:p>
        </w:tc>
        <w:tc>
          <w:tcPr>
            <w:tcW w:w="1134" w:type="dxa"/>
            <w:vMerge/>
            <w:vAlign w:val="center"/>
          </w:tcPr>
          <w:p w:rsidR="00F001C5" w:rsidRDefault="00F001C5">
            <w:pPr>
              <w:spacing w:line="300" w:lineRule="exact"/>
              <w:jc w:val="left"/>
              <w:outlineLvl w:val="0"/>
              <w:rPr>
                <w:rFonts w:ascii="宋体" w:hAnsi="宋体" w:cs="宋体"/>
                <w:sz w:val="32"/>
                <w:szCs w:val="32"/>
              </w:rPr>
            </w:pPr>
          </w:p>
        </w:tc>
        <w:tc>
          <w:tcPr>
            <w:tcW w:w="1276" w:type="dxa"/>
            <w:vMerge/>
            <w:vAlign w:val="center"/>
          </w:tcPr>
          <w:p w:rsidR="00F001C5" w:rsidRDefault="00F001C5">
            <w:pPr>
              <w:spacing w:line="300" w:lineRule="exact"/>
              <w:jc w:val="left"/>
              <w:outlineLvl w:val="0"/>
              <w:rPr>
                <w:rFonts w:ascii="宋体" w:hAnsi="宋体" w:cs="宋体"/>
                <w:sz w:val="32"/>
                <w:szCs w:val="32"/>
              </w:rPr>
            </w:pPr>
          </w:p>
        </w:tc>
        <w:tc>
          <w:tcPr>
            <w:tcW w:w="2902" w:type="dxa"/>
            <w:vMerge/>
            <w:vAlign w:val="center"/>
          </w:tcPr>
          <w:p w:rsidR="00F001C5" w:rsidRDefault="00F001C5">
            <w:pPr>
              <w:spacing w:line="300" w:lineRule="exact"/>
              <w:jc w:val="left"/>
              <w:outlineLvl w:val="0"/>
              <w:rPr>
                <w:rFonts w:ascii="宋体" w:hAnsi="宋体" w:cs="宋体"/>
                <w:sz w:val="32"/>
                <w:szCs w:val="32"/>
              </w:rPr>
            </w:pP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300"/>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规划科</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燃气与供热科</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建管科</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315"/>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质监站</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安监站</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房管科</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rPr>
                <w:rFonts w:ascii="宋体" w:hAnsi="宋体" w:cs="宋体"/>
                <w:sz w:val="32"/>
                <w:szCs w:val="32"/>
              </w:rPr>
            </w:pPr>
            <w:r>
              <w:rPr>
                <w:rFonts w:ascii="宋体" w:hAnsi="宋体" w:cs="宋体" w:hint="eastAsia"/>
                <w:sz w:val="32"/>
                <w:szCs w:val="32"/>
              </w:rPr>
              <w:t xml:space="preserve"> 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建设工程招投标办公室</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城管中队</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r w:rsidR="00F001C5">
        <w:trPr>
          <w:trHeight w:val="227"/>
          <w:jc w:val="center"/>
        </w:trPr>
        <w:tc>
          <w:tcPr>
            <w:tcW w:w="4417" w:type="dxa"/>
            <w:vAlign w:val="center"/>
          </w:tcPr>
          <w:p w:rsidR="00F001C5" w:rsidRDefault="004E28DA">
            <w:pPr>
              <w:spacing w:line="300" w:lineRule="exact"/>
              <w:jc w:val="left"/>
              <w:rPr>
                <w:rFonts w:ascii="宋体" w:hAnsi="宋体" w:cs="宋体"/>
                <w:sz w:val="32"/>
                <w:szCs w:val="32"/>
              </w:rPr>
            </w:pPr>
            <w:r>
              <w:rPr>
                <w:rFonts w:ascii="宋体" w:hAnsi="宋体" w:cs="宋体" w:hint="eastAsia"/>
                <w:sz w:val="32"/>
                <w:szCs w:val="32"/>
              </w:rPr>
              <w:t>绿化办公室</w:t>
            </w:r>
          </w:p>
        </w:tc>
        <w:tc>
          <w:tcPr>
            <w:tcW w:w="1134"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F001C5" w:rsidRDefault="004E28DA">
            <w:pPr>
              <w:spacing w:line="300" w:lineRule="exact"/>
              <w:jc w:val="center"/>
              <w:rPr>
                <w:rFonts w:ascii="宋体" w:hAnsi="宋体" w:cs="宋体"/>
                <w:sz w:val="32"/>
                <w:szCs w:val="32"/>
              </w:rPr>
            </w:pPr>
            <w:r>
              <w:rPr>
                <w:rFonts w:ascii="宋体" w:hAnsi="宋体" w:cs="宋体" w:hint="eastAsia"/>
                <w:sz w:val="32"/>
                <w:szCs w:val="32"/>
              </w:rPr>
              <w:t>财政拨款</w:t>
            </w:r>
          </w:p>
        </w:tc>
      </w:tr>
    </w:tbl>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二、部门预算安排总体情况</w:t>
      </w:r>
    </w:p>
    <w:p w:rsidR="00F001C5" w:rsidRDefault="004E28DA">
      <w:pPr>
        <w:pStyle w:val="a6"/>
        <w:shd w:val="clear" w:color="auto" w:fill="FFFFFF"/>
        <w:spacing w:before="0" w:beforeAutospacing="0" w:after="0" w:afterAutospacing="0" w:line="560" w:lineRule="atLeast"/>
        <w:ind w:firstLineChars="100" w:firstLine="321"/>
        <w:rPr>
          <w:rFonts w:ascii="Tahoma" w:hAnsi="Tahoma" w:cs="Tahoma"/>
          <w:color w:val="333333"/>
          <w:sz w:val="20"/>
          <w:szCs w:val="20"/>
        </w:rPr>
      </w:pPr>
      <w:r>
        <w:rPr>
          <w:rFonts w:cs="Tahoma"/>
          <w:b/>
          <w:bCs/>
          <w:color w:val="333333"/>
          <w:sz w:val="32"/>
          <w:szCs w:val="32"/>
        </w:rPr>
        <w:lastRenderedPageBreak/>
        <w:t>（一）收入说明</w:t>
      </w:r>
    </w:p>
    <w:p w:rsidR="00F001C5" w:rsidRDefault="004E28DA">
      <w:pPr>
        <w:pStyle w:val="a6"/>
        <w:shd w:val="clear" w:color="auto" w:fill="FFFFFF"/>
        <w:spacing w:before="0" w:beforeAutospacing="0" w:after="0" w:afterAutospacing="0" w:line="560" w:lineRule="atLeast"/>
        <w:ind w:firstLine="640"/>
        <w:rPr>
          <w:rFonts w:ascii="Tahoma" w:hAnsi="Tahoma" w:cs="Tahoma"/>
          <w:color w:val="333333"/>
          <w:sz w:val="20"/>
          <w:szCs w:val="20"/>
        </w:rPr>
      </w:pPr>
      <w:r>
        <w:rPr>
          <w:rFonts w:cs="Tahoma"/>
          <w:color w:val="333333"/>
          <w:sz w:val="32"/>
          <w:szCs w:val="32"/>
        </w:rPr>
        <w:t>201</w:t>
      </w:r>
      <w:r>
        <w:rPr>
          <w:rFonts w:cs="Tahoma" w:hint="eastAsia"/>
          <w:color w:val="333333"/>
          <w:sz w:val="32"/>
          <w:szCs w:val="32"/>
        </w:rPr>
        <w:t>9</w:t>
      </w:r>
      <w:r>
        <w:rPr>
          <w:rFonts w:cs="Tahoma"/>
          <w:color w:val="333333"/>
          <w:sz w:val="32"/>
          <w:szCs w:val="32"/>
        </w:rPr>
        <w:t>年部门预算收入</w:t>
      </w:r>
      <w:r>
        <w:rPr>
          <w:rFonts w:cs="Tahoma" w:hint="eastAsia"/>
          <w:color w:val="333333"/>
          <w:sz w:val="32"/>
          <w:szCs w:val="32"/>
        </w:rPr>
        <w:t>1099.4</w:t>
      </w:r>
      <w:r>
        <w:rPr>
          <w:rFonts w:cs="Tahoma"/>
          <w:color w:val="333333"/>
          <w:sz w:val="32"/>
          <w:szCs w:val="32"/>
        </w:rPr>
        <w:t>万元，一般公共预算财政拨款收入</w:t>
      </w:r>
      <w:r>
        <w:rPr>
          <w:rFonts w:cs="Tahoma" w:hint="eastAsia"/>
          <w:color w:val="333333"/>
          <w:sz w:val="32"/>
          <w:szCs w:val="32"/>
        </w:rPr>
        <w:t>1099.4</w:t>
      </w:r>
      <w:r>
        <w:rPr>
          <w:rFonts w:cs="Tahoma"/>
          <w:color w:val="333333"/>
          <w:sz w:val="32"/>
          <w:szCs w:val="32"/>
        </w:rPr>
        <w:t>万元。</w:t>
      </w:r>
    </w:p>
    <w:p w:rsidR="00F001C5" w:rsidRDefault="004E28DA">
      <w:pPr>
        <w:pStyle w:val="a6"/>
        <w:shd w:val="clear" w:color="auto" w:fill="FFFFFF"/>
        <w:spacing w:before="0" w:beforeAutospacing="0" w:after="0" w:afterAutospacing="0" w:line="560" w:lineRule="atLeast"/>
        <w:ind w:firstLine="643"/>
        <w:rPr>
          <w:rFonts w:ascii="Tahoma" w:hAnsi="Tahoma" w:cs="Tahoma"/>
          <w:color w:val="333333"/>
          <w:sz w:val="20"/>
          <w:szCs w:val="20"/>
        </w:rPr>
      </w:pPr>
      <w:r>
        <w:rPr>
          <w:rFonts w:cs="Tahoma"/>
          <w:b/>
          <w:bCs/>
          <w:color w:val="333333"/>
          <w:sz w:val="32"/>
          <w:szCs w:val="32"/>
        </w:rPr>
        <w:t>（二）支出说明</w:t>
      </w:r>
    </w:p>
    <w:p w:rsidR="00F001C5" w:rsidRDefault="004E28DA">
      <w:pPr>
        <w:pStyle w:val="a6"/>
        <w:shd w:val="clear" w:color="auto" w:fill="FFFFFF"/>
        <w:spacing w:before="0" w:beforeAutospacing="0" w:after="0" w:afterAutospacing="0" w:line="560" w:lineRule="atLeast"/>
        <w:ind w:firstLine="630"/>
        <w:rPr>
          <w:rFonts w:ascii="Tahoma" w:hAnsi="Tahoma" w:cs="Tahoma"/>
          <w:color w:val="333333"/>
          <w:sz w:val="20"/>
          <w:szCs w:val="20"/>
        </w:rPr>
      </w:pPr>
      <w:r>
        <w:rPr>
          <w:rFonts w:cs="Tahoma"/>
          <w:color w:val="333333"/>
          <w:sz w:val="32"/>
          <w:szCs w:val="32"/>
        </w:rPr>
        <w:t>201</w:t>
      </w:r>
      <w:r>
        <w:rPr>
          <w:rFonts w:cs="Tahoma" w:hint="eastAsia"/>
          <w:color w:val="333333"/>
          <w:sz w:val="32"/>
          <w:szCs w:val="32"/>
        </w:rPr>
        <w:t>9</w:t>
      </w:r>
      <w:r>
        <w:rPr>
          <w:rFonts w:cs="Tahoma"/>
          <w:color w:val="333333"/>
          <w:sz w:val="32"/>
          <w:szCs w:val="32"/>
        </w:rPr>
        <w:t>年部门预算支出</w:t>
      </w:r>
      <w:r>
        <w:rPr>
          <w:rFonts w:cs="Tahoma" w:hint="eastAsia"/>
          <w:color w:val="333333"/>
          <w:sz w:val="32"/>
          <w:szCs w:val="32"/>
        </w:rPr>
        <w:t>1099.4</w:t>
      </w:r>
      <w:r>
        <w:rPr>
          <w:rFonts w:cs="Tahoma"/>
          <w:color w:val="333333"/>
          <w:sz w:val="32"/>
          <w:szCs w:val="32"/>
        </w:rPr>
        <w:t>万元，其中：基本支出</w:t>
      </w:r>
      <w:r>
        <w:rPr>
          <w:rFonts w:cs="Tahoma" w:hint="eastAsia"/>
          <w:color w:val="333333"/>
          <w:sz w:val="32"/>
          <w:szCs w:val="32"/>
        </w:rPr>
        <w:t>634.67</w:t>
      </w:r>
      <w:r>
        <w:rPr>
          <w:rFonts w:cs="Tahoma"/>
          <w:color w:val="333333"/>
          <w:sz w:val="32"/>
          <w:szCs w:val="32"/>
        </w:rPr>
        <w:t>万元；项目支出</w:t>
      </w:r>
      <w:r>
        <w:rPr>
          <w:rFonts w:cs="Tahoma" w:hint="eastAsia"/>
          <w:color w:val="333333"/>
          <w:sz w:val="32"/>
          <w:szCs w:val="32"/>
        </w:rPr>
        <w:t>464.73</w:t>
      </w:r>
      <w:r>
        <w:rPr>
          <w:rFonts w:cs="Tahoma"/>
          <w:color w:val="333333"/>
          <w:sz w:val="32"/>
          <w:szCs w:val="32"/>
        </w:rPr>
        <w:t>万元。</w:t>
      </w:r>
    </w:p>
    <w:p w:rsidR="00F001C5" w:rsidRDefault="004E28DA">
      <w:pPr>
        <w:pStyle w:val="a6"/>
        <w:shd w:val="clear" w:color="auto" w:fill="FFFFFF"/>
        <w:spacing w:before="0" w:beforeAutospacing="0" w:after="0" w:afterAutospacing="0" w:line="560" w:lineRule="atLeast"/>
        <w:ind w:firstLine="630"/>
        <w:rPr>
          <w:rFonts w:ascii="Tahoma" w:hAnsi="Tahoma" w:cs="Tahoma"/>
          <w:color w:val="333333"/>
          <w:sz w:val="20"/>
          <w:szCs w:val="20"/>
        </w:rPr>
      </w:pPr>
      <w:r>
        <w:rPr>
          <w:rFonts w:cs="Tahoma"/>
          <w:b/>
          <w:bCs/>
          <w:color w:val="333333"/>
          <w:sz w:val="32"/>
          <w:szCs w:val="32"/>
        </w:rPr>
        <w:t>（三）比上年增减情况</w:t>
      </w:r>
    </w:p>
    <w:p w:rsidR="00F001C5" w:rsidRDefault="004E28DA">
      <w:pPr>
        <w:pStyle w:val="a6"/>
        <w:shd w:val="clear" w:color="auto" w:fill="FFFFFF"/>
        <w:spacing w:before="0" w:beforeAutospacing="0" w:after="0" w:afterAutospacing="0" w:line="560" w:lineRule="atLeast"/>
        <w:ind w:firstLine="640"/>
        <w:rPr>
          <w:rFonts w:ascii="Tahoma" w:hAnsi="Tahoma" w:cs="Tahoma"/>
          <w:color w:val="FF0000"/>
          <w:sz w:val="20"/>
          <w:szCs w:val="20"/>
        </w:rPr>
      </w:pPr>
      <w:r>
        <w:rPr>
          <w:rFonts w:cs="Tahoma" w:hint="eastAsia"/>
          <w:color w:val="333333"/>
          <w:sz w:val="32"/>
          <w:szCs w:val="32"/>
        </w:rPr>
        <w:t>2019年部门预算较2018年减少346.73万元</w:t>
      </w:r>
      <w:r>
        <w:rPr>
          <w:rFonts w:cs="Tahoma"/>
          <w:color w:val="333333"/>
          <w:sz w:val="32"/>
          <w:szCs w:val="32"/>
        </w:rPr>
        <w:t>，其中人员经费</w:t>
      </w:r>
      <w:r>
        <w:rPr>
          <w:rFonts w:cs="Tahoma" w:hint="eastAsia"/>
          <w:color w:val="333333"/>
          <w:sz w:val="32"/>
          <w:szCs w:val="32"/>
        </w:rPr>
        <w:t>598.77</w:t>
      </w:r>
      <w:r>
        <w:rPr>
          <w:rFonts w:cs="Tahoma"/>
          <w:color w:val="333333"/>
          <w:sz w:val="32"/>
          <w:szCs w:val="32"/>
        </w:rPr>
        <w:t>万元，较201</w:t>
      </w:r>
      <w:r>
        <w:rPr>
          <w:rFonts w:cs="Tahoma" w:hint="eastAsia"/>
          <w:color w:val="333333"/>
          <w:sz w:val="32"/>
          <w:szCs w:val="32"/>
        </w:rPr>
        <w:t>8</w:t>
      </w:r>
      <w:r>
        <w:rPr>
          <w:rFonts w:cs="Tahoma"/>
          <w:color w:val="333333"/>
          <w:sz w:val="32"/>
          <w:szCs w:val="32"/>
        </w:rPr>
        <w:t>年增加</w:t>
      </w:r>
      <w:r>
        <w:rPr>
          <w:rFonts w:cs="Tahoma" w:hint="eastAsia"/>
          <w:color w:val="333333"/>
          <w:sz w:val="32"/>
          <w:szCs w:val="32"/>
        </w:rPr>
        <w:t>318.74</w:t>
      </w:r>
      <w:r>
        <w:rPr>
          <w:rFonts w:cs="Tahoma"/>
          <w:color w:val="333333"/>
          <w:sz w:val="32"/>
          <w:szCs w:val="32"/>
        </w:rPr>
        <w:t>万元，201</w:t>
      </w:r>
      <w:r>
        <w:rPr>
          <w:rFonts w:cs="Tahoma" w:hint="eastAsia"/>
          <w:color w:val="333333"/>
          <w:sz w:val="32"/>
          <w:szCs w:val="32"/>
        </w:rPr>
        <w:t>9</w:t>
      </w:r>
      <w:r>
        <w:rPr>
          <w:rFonts w:cs="Tahoma"/>
          <w:color w:val="333333"/>
          <w:sz w:val="32"/>
          <w:szCs w:val="32"/>
        </w:rPr>
        <w:t>年有增资，增加人员，所以201</w:t>
      </w:r>
      <w:r>
        <w:rPr>
          <w:rFonts w:cs="Tahoma" w:hint="eastAsia"/>
          <w:color w:val="333333"/>
          <w:sz w:val="32"/>
          <w:szCs w:val="32"/>
        </w:rPr>
        <w:t>9</w:t>
      </w:r>
      <w:r>
        <w:rPr>
          <w:rFonts w:cs="Tahoma"/>
          <w:color w:val="333333"/>
          <w:sz w:val="32"/>
          <w:szCs w:val="32"/>
        </w:rPr>
        <w:t>年比201</w:t>
      </w:r>
      <w:r>
        <w:rPr>
          <w:rFonts w:cs="Tahoma" w:hint="eastAsia"/>
          <w:color w:val="333333"/>
          <w:sz w:val="32"/>
          <w:szCs w:val="32"/>
        </w:rPr>
        <w:t>8</w:t>
      </w:r>
      <w:r>
        <w:rPr>
          <w:rFonts w:cs="Tahoma"/>
          <w:color w:val="333333"/>
          <w:sz w:val="32"/>
          <w:szCs w:val="32"/>
        </w:rPr>
        <w:t>年人员经费相对增加；公用经费</w:t>
      </w:r>
      <w:r>
        <w:rPr>
          <w:rFonts w:cs="Tahoma" w:hint="eastAsia"/>
          <w:color w:val="333333"/>
          <w:sz w:val="32"/>
          <w:szCs w:val="32"/>
        </w:rPr>
        <w:t>35.9</w:t>
      </w:r>
      <w:r>
        <w:rPr>
          <w:rFonts w:cs="Tahoma"/>
          <w:color w:val="333333"/>
          <w:sz w:val="32"/>
          <w:szCs w:val="32"/>
        </w:rPr>
        <w:t>万元，较201</w:t>
      </w:r>
      <w:r>
        <w:rPr>
          <w:rFonts w:cs="Tahoma" w:hint="eastAsia"/>
          <w:color w:val="333333"/>
          <w:sz w:val="32"/>
          <w:szCs w:val="32"/>
        </w:rPr>
        <w:t>9</w:t>
      </w:r>
      <w:r>
        <w:rPr>
          <w:rFonts w:cs="Tahoma"/>
          <w:color w:val="333333"/>
          <w:sz w:val="32"/>
          <w:szCs w:val="32"/>
        </w:rPr>
        <w:t>年增加</w:t>
      </w:r>
      <w:r>
        <w:rPr>
          <w:rFonts w:cs="Tahoma" w:hint="eastAsia"/>
          <w:color w:val="333333"/>
          <w:sz w:val="32"/>
          <w:szCs w:val="32"/>
        </w:rPr>
        <w:t>9.95</w:t>
      </w:r>
      <w:r>
        <w:rPr>
          <w:rFonts w:cs="Tahoma"/>
          <w:color w:val="333333"/>
          <w:sz w:val="32"/>
          <w:szCs w:val="32"/>
        </w:rPr>
        <w:t>万元，应为人员变动；专项经费支出</w:t>
      </w:r>
      <w:r>
        <w:rPr>
          <w:rFonts w:cs="Tahoma" w:hint="eastAsia"/>
          <w:color w:val="333333"/>
          <w:sz w:val="32"/>
          <w:szCs w:val="32"/>
        </w:rPr>
        <w:t>464.73</w:t>
      </w:r>
      <w:r>
        <w:rPr>
          <w:rFonts w:cs="Tahoma"/>
          <w:color w:val="333333"/>
          <w:sz w:val="32"/>
          <w:szCs w:val="32"/>
        </w:rPr>
        <w:t>万元，较201</w:t>
      </w:r>
      <w:r>
        <w:rPr>
          <w:rFonts w:cs="Tahoma" w:hint="eastAsia"/>
          <w:color w:val="333333"/>
          <w:sz w:val="32"/>
          <w:szCs w:val="32"/>
        </w:rPr>
        <w:t>8</w:t>
      </w:r>
      <w:r>
        <w:rPr>
          <w:rFonts w:cs="Tahoma"/>
          <w:color w:val="333333"/>
          <w:sz w:val="32"/>
          <w:szCs w:val="32"/>
        </w:rPr>
        <w:t>年</w:t>
      </w:r>
      <w:r>
        <w:rPr>
          <w:rFonts w:cs="Tahoma" w:hint="eastAsia"/>
          <w:color w:val="333333"/>
          <w:sz w:val="32"/>
          <w:szCs w:val="32"/>
        </w:rPr>
        <w:t>减少675.42</w:t>
      </w:r>
      <w:r>
        <w:rPr>
          <w:rFonts w:cs="Tahoma"/>
          <w:color w:val="333333"/>
          <w:sz w:val="32"/>
          <w:szCs w:val="32"/>
        </w:rPr>
        <w:t>万元</w:t>
      </w:r>
      <w:r>
        <w:rPr>
          <w:rFonts w:cs="Tahoma" w:hint="eastAsia"/>
          <w:color w:val="333333"/>
          <w:sz w:val="32"/>
          <w:szCs w:val="32"/>
        </w:rPr>
        <w:t>,</w:t>
      </w:r>
      <w:r>
        <w:rPr>
          <w:rFonts w:cs="Tahoma" w:hint="eastAsia"/>
          <w:color w:val="000000" w:themeColor="text1"/>
          <w:sz w:val="32"/>
          <w:szCs w:val="32"/>
        </w:rPr>
        <w:t>应为项目支出减少。</w:t>
      </w:r>
    </w:p>
    <w:p w:rsidR="00F001C5" w:rsidRDefault="004E28DA">
      <w:pPr>
        <w:pStyle w:val="a6"/>
        <w:shd w:val="clear" w:color="auto" w:fill="FFFFFF"/>
        <w:spacing w:before="0" w:beforeAutospacing="0" w:after="0" w:afterAutospacing="0" w:line="560" w:lineRule="atLeast"/>
        <w:rPr>
          <w:rFonts w:ascii="Tahoma" w:hAnsi="Tahoma" w:cs="Tahoma"/>
          <w:color w:val="333333"/>
          <w:sz w:val="20"/>
          <w:szCs w:val="20"/>
        </w:rPr>
      </w:pPr>
      <w:r>
        <w:rPr>
          <w:rFonts w:cs="Tahoma"/>
          <w:b/>
          <w:bCs/>
          <w:color w:val="333333"/>
          <w:sz w:val="32"/>
          <w:szCs w:val="32"/>
        </w:rPr>
        <w:t>三、机关运行经费安排情况</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hint="eastAsia"/>
          <w:color w:val="333333"/>
          <w:sz w:val="32"/>
          <w:szCs w:val="32"/>
        </w:rPr>
        <w:t>机关运行经费总计35.9万元，其中</w:t>
      </w:r>
      <w:r>
        <w:rPr>
          <w:rFonts w:cs="Tahoma"/>
          <w:color w:val="333333"/>
          <w:sz w:val="32"/>
          <w:szCs w:val="32"/>
        </w:rPr>
        <w:t>办公费</w:t>
      </w:r>
      <w:r>
        <w:rPr>
          <w:rFonts w:cs="Tahoma" w:hint="eastAsia"/>
          <w:color w:val="333333"/>
          <w:sz w:val="32"/>
          <w:szCs w:val="32"/>
        </w:rPr>
        <w:t>3.13</w:t>
      </w:r>
      <w:r>
        <w:rPr>
          <w:rFonts w:cs="Tahoma"/>
          <w:color w:val="333333"/>
          <w:sz w:val="32"/>
          <w:szCs w:val="32"/>
        </w:rPr>
        <w:t>万元，电费</w:t>
      </w:r>
      <w:r>
        <w:rPr>
          <w:rFonts w:cs="Tahoma" w:hint="eastAsia"/>
          <w:color w:val="333333"/>
          <w:sz w:val="32"/>
          <w:szCs w:val="32"/>
        </w:rPr>
        <w:t>2</w:t>
      </w:r>
      <w:r>
        <w:rPr>
          <w:rFonts w:cs="Tahoma"/>
          <w:color w:val="333333"/>
          <w:sz w:val="32"/>
          <w:szCs w:val="32"/>
        </w:rPr>
        <w:t>万元，水费</w:t>
      </w:r>
      <w:r>
        <w:rPr>
          <w:rFonts w:cs="Tahoma" w:hint="eastAsia"/>
          <w:color w:val="333333"/>
          <w:sz w:val="32"/>
          <w:szCs w:val="32"/>
        </w:rPr>
        <w:t>1.05</w:t>
      </w:r>
      <w:r>
        <w:rPr>
          <w:rFonts w:cs="Tahoma"/>
          <w:color w:val="333333"/>
          <w:sz w:val="32"/>
          <w:szCs w:val="32"/>
        </w:rPr>
        <w:t>万元，工会经费</w:t>
      </w:r>
      <w:r>
        <w:rPr>
          <w:rFonts w:cs="Tahoma" w:hint="eastAsia"/>
          <w:color w:val="333333"/>
          <w:sz w:val="32"/>
          <w:szCs w:val="32"/>
        </w:rPr>
        <w:t>4.18</w:t>
      </w:r>
      <w:r>
        <w:rPr>
          <w:rFonts w:cs="Tahoma"/>
          <w:color w:val="333333"/>
          <w:sz w:val="32"/>
          <w:szCs w:val="32"/>
        </w:rPr>
        <w:t>万元，取暖费</w:t>
      </w:r>
      <w:r>
        <w:rPr>
          <w:rFonts w:cs="Tahoma" w:hint="eastAsia"/>
          <w:color w:val="333333"/>
          <w:sz w:val="32"/>
          <w:szCs w:val="32"/>
        </w:rPr>
        <w:t>2.8</w:t>
      </w:r>
      <w:r>
        <w:rPr>
          <w:rFonts w:cs="Tahoma"/>
          <w:color w:val="333333"/>
          <w:sz w:val="32"/>
          <w:szCs w:val="32"/>
        </w:rPr>
        <w:t>万元，差旅费</w:t>
      </w:r>
      <w:r>
        <w:rPr>
          <w:rFonts w:cs="Tahoma" w:hint="eastAsia"/>
          <w:color w:val="333333"/>
          <w:sz w:val="32"/>
          <w:szCs w:val="32"/>
        </w:rPr>
        <w:t>3</w:t>
      </w:r>
      <w:r>
        <w:rPr>
          <w:rFonts w:cs="Tahoma"/>
          <w:color w:val="333333"/>
          <w:sz w:val="32"/>
          <w:szCs w:val="32"/>
        </w:rPr>
        <w:t>万元，公务接待费</w:t>
      </w:r>
      <w:r>
        <w:rPr>
          <w:rFonts w:cs="Tahoma" w:hint="eastAsia"/>
          <w:color w:val="333333"/>
          <w:sz w:val="32"/>
          <w:szCs w:val="32"/>
        </w:rPr>
        <w:t>0.3</w:t>
      </w:r>
      <w:r>
        <w:rPr>
          <w:rFonts w:cs="Tahoma"/>
          <w:color w:val="333333"/>
          <w:sz w:val="32"/>
          <w:szCs w:val="32"/>
        </w:rPr>
        <w:t>万元，会议费</w:t>
      </w:r>
      <w:r>
        <w:rPr>
          <w:rFonts w:cs="Tahoma" w:hint="eastAsia"/>
          <w:color w:val="333333"/>
          <w:sz w:val="32"/>
          <w:szCs w:val="32"/>
        </w:rPr>
        <w:t>0.62</w:t>
      </w:r>
      <w:r>
        <w:rPr>
          <w:rFonts w:cs="Tahoma"/>
          <w:color w:val="333333"/>
          <w:sz w:val="32"/>
          <w:szCs w:val="32"/>
        </w:rPr>
        <w:t>万元，福利费</w:t>
      </w:r>
      <w:r>
        <w:rPr>
          <w:rFonts w:cs="Tahoma" w:hint="eastAsia"/>
          <w:color w:val="333333"/>
          <w:sz w:val="32"/>
          <w:szCs w:val="32"/>
        </w:rPr>
        <w:t>2.75</w:t>
      </w:r>
      <w:r>
        <w:rPr>
          <w:rFonts w:cs="Tahoma"/>
          <w:color w:val="333333"/>
          <w:sz w:val="32"/>
          <w:szCs w:val="32"/>
        </w:rPr>
        <w:lastRenderedPageBreak/>
        <w:t>万元，邮电费</w:t>
      </w:r>
      <w:r>
        <w:rPr>
          <w:rFonts w:cs="Tahoma" w:hint="eastAsia"/>
          <w:color w:val="333333"/>
          <w:sz w:val="32"/>
          <w:szCs w:val="32"/>
        </w:rPr>
        <w:t>6.43</w:t>
      </w:r>
      <w:r>
        <w:rPr>
          <w:rFonts w:cs="Tahoma"/>
          <w:color w:val="333333"/>
          <w:sz w:val="32"/>
          <w:szCs w:val="32"/>
        </w:rPr>
        <w:t>万元，其他商品和服务支出</w:t>
      </w:r>
      <w:r>
        <w:rPr>
          <w:rFonts w:cs="Tahoma" w:hint="eastAsia"/>
          <w:color w:val="333333"/>
          <w:sz w:val="32"/>
          <w:szCs w:val="32"/>
        </w:rPr>
        <w:t>0.31</w:t>
      </w:r>
      <w:r>
        <w:rPr>
          <w:rFonts w:cs="Tahoma"/>
          <w:color w:val="333333"/>
          <w:sz w:val="32"/>
          <w:szCs w:val="32"/>
        </w:rPr>
        <w:t>万元，其他交通费用</w:t>
      </w:r>
      <w:r>
        <w:rPr>
          <w:rFonts w:cs="Tahoma" w:hint="eastAsia"/>
          <w:color w:val="333333"/>
          <w:sz w:val="32"/>
          <w:szCs w:val="32"/>
        </w:rPr>
        <w:t>4.68</w:t>
      </w:r>
      <w:r>
        <w:rPr>
          <w:rFonts w:cs="Tahoma"/>
          <w:color w:val="333333"/>
          <w:sz w:val="32"/>
          <w:szCs w:val="32"/>
        </w:rPr>
        <w:t>万元，印刷费</w:t>
      </w:r>
      <w:r>
        <w:rPr>
          <w:rFonts w:cs="Tahoma" w:hint="eastAsia"/>
          <w:color w:val="333333"/>
          <w:sz w:val="32"/>
          <w:szCs w:val="32"/>
        </w:rPr>
        <w:t>0.5</w:t>
      </w:r>
      <w:r>
        <w:rPr>
          <w:rFonts w:cs="Tahoma"/>
          <w:color w:val="333333"/>
          <w:sz w:val="32"/>
          <w:szCs w:val="32"/>
        </w:rPr>
        <w:t>万元</w:t>
      </w:r>
      <w:r>
        <w:rPr>
          <w:rFonts w:cs="Tahoma" w:hint="eastAsia"/>
          <w:color w:val="333333"/>
          <w:sz w:val="32"/>
          <w:szCs w:val="32"/>
        </w:rPr>
        <w:t>，公务用车运行维护费3.15万元，维修（护）费1万元</w:t>
      </w:r>
      <w:r>
        <w:rPr>
          <w:rFonts w:cs="Tahoma"/>
          <w:color w:val="333333"/>
          <w:sz w:val="32"/>
          <w:szCs w:val="32"/>
        </w:rPr>
        <w:t>。</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四、财政拨款“三公”经费预算情况</w:t>
      </w:r>
    </w:p>
    <w:p w:rsidR="00F001C5" w:rsidRDefault="004E28DA">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color w:val="333333"/>
          <w:sz w:val="32"/>
          <w:szCs w:val="32"/>
        </w:rPr>
        <w:t>201</w:t>
      </w:r>
      <w:r>
        <w:rPr>
          <w:rFonts w:cs="Tahoma" w:hint="eastAsia"/>
          <w:color w:val="333333"/>
          <w:sz w:val="32"/>
          <w:szCs w:val="32"/>
        </w:rPr>
        <w:t>9</w:t>
      </w:r>
      <w:r>
        <w:rPr>
          <w:rFonts w:cs="Tahoma"/>
          <w:color w:val="333333"/>
          <w:sz w:val="32"/>
          <w:szCs w:val="32"/>
        </w:rPr>
        <w:t>年</w:t>
      </w:r>
      <w:r>
        <w:rPr>
          <w:rFonts w:cs="Tahoma" w:hint="eastAsia"/>
          <w:color w:val="333333"/>
          <w:sz w:val="32"/>
          <w:szCs w:val="32"/>
        </w:rPr>
        <w:t>规划局</w:t>
      </w:r>
      <w:r>
        <w:rPr>
          <w:rFonts w:cs="Tahoma"/>
          <w:color w:val="333333"/>
          <w:sz w:val="32"/>
          <w:szCs w:val="32"/>
        </w:rPr>
        <w:t>安排 “三公经费”</w:t>
      </w:r>
      <w:r>
        <w:rPr>
          <w:rFonts w:cs="Tahoma" w:hint="eastAsia"/>
          <w:color w:val="333333"/>
          <w:sz w:val="32"/>
          <w:szCs w:val="32"/>
        </w:rPr>
        <w:t>3.45</w:t>
      </w:r>
      <w:r>
        <w:rPr>
          <w:rFonts w:cs="Tahoma"/>
          <w:color w:val="333333"/>
          <w:sz w:val="32"/>
          <w:szCs w:val="32"/>
        </w:rPr>
        <w:t>万元</w:t>
      </w:r>
      <w:r>
        <w:rPr>
          <w:rFonts w:cs="Tahoma" w:hint="eastAsia"/>
          <w:color w:val="333333"/>
          <w:sz w:val="32"/>
          <w:szCs w:val="32"/>
        </w:rPr>
        <w:t>，其中：</w:t>
      </w:r>
    </w:p>
    <w:p w:rsidR="00F001C5" w:rsidRDefault="004E28DA">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1、</w:t>
      </w:r>
      <w:r>
        <w:rPr>
          <w:rFonts w:cs="Tahoma"/>
          <w:color w:val="333333"/>
          <w:sz w:val="32"/>
          <w:szCs w:val="32"/>
        </w:rPr>
        <w:t>201</w:t>
      </w:r>
      <w:r>
        <w:rPr>
          <w:rFonts w:cs="Tahoma" w:hint="eastAsia"/>
          <w:color w:val="333333"/>
          <w:sz w:val="32"/>
          <w:szCs w:val="32"/>
        </w:rPr>
        <w:t>9</w:t>
      </w:r>
      <w:r>
        <w:rPr>
          <w:rFonts w:cs="Tahoma"/>
          <w:color w:val="333333"/>
          <w:sz w:val="32"/>
          <w:szCs w:val="32"/>
        </w:rPr>
        <w:t>年公务车购置和运行维护费</w:t>
      </w:r>
      <w:r>
        <w:rPr>
          <w:rFonts w:cs="Tahoma" w:hint="eastAsia"/>
          <w:color w:val="333333"/>
          <w:sz w:val="32"/>
          <w:szCs w:val="32"/>
        </w:rPr>
        <w:t>3.15</w:t>
      </w:r>
      <w:r>
        <w:rPr>
          <w:rFonts w:cs="Tahoma"/>
          <w:color w:val="333333"/>
          <w:sz w:val="32"/>
          <w:szCs w:val="32"/>
        </w:rPr>
        <w:t>万元</w:t>
      </w:r>
      <w:r>
        <w:rPr>
          <w:rFonts w:cs="Tahoma" w:hint="eastAsia"/>
          <w:color w:val="333333"/>
          <w:sz w:val="32"/>
          <w:szCs w:val="32"/>
        </w:rPr>
        <w:t>（购置费0万元，运行维护费3.15万元）</w:t>
      </w:r>
      <w:r>
        <w:rPr>
          <w:rFonts w:cs="Tahoma"/>
          <w:color w:val="333333"/>
          <w:sz w:val="32"/>
          <w:szCs w:val="32"/>
        </w:rPr>
        <w:t>，较201</w:t>
      </w:r>
      <w:r>
        <w:rPr>
          <w:rFonts w:cs="Tahoma" w:hint="eastAsia"/>
          <w:color w:val="333333"/>
          <w:sz w:val="32"/>
          <w:szCs w:val="32"/>
        </w:rPr>
        <w:t>8</w:t>
      </w:r>
      <w:r>
        <w:rPr>
          <w:rFonts w:cs="Tahoma"/>
          <w:color w:val="333333"/>
          <w:sz w:val="32"/>
          <w:szCs w:val="32"/>
        </w:rPr>
        <w:t>年</w:t>
      </w:r>
      <w:r>
        <w:rPr>
          <w:rFonts w:cs="Tahoma" w:hint="eastAsia"/>
          <w:color w:val="333333"/>
          <w:sz w:val="32"/>
          <w:szCs w:val="32"/>
        </w:rPr>
        <w:t>增加3.15</w:t>
      </w:r>
      <w:r>
        <w:rPr>
          <w:rFonts w:cs="Tahoma"/>
          <w:color w:val="333333"/>
          <w:sz w:val="32"/>
          <w:szCs w:val="32"/>
        </w:rPr>
        <w:t>万元</w:t>
      </w:r>
      <w:r w:rsidR="004837FA">
        <w:rPr>
          <w:rFonts w:cs="Tahoma" w:hint="eastAsia"/>
          <w:color w:val="333333"/>
          <w:sz w:val="32"/>
          <w:szCs w:val="32"/>
        </w:rPr>
        <w:t>，原因是城管执法车增加</w:t>
      </w:r>
      <w:r>
        <w:rPr>
          <w:rFonts w:cs="Tahoma"/>
          <w:color w:val="333333"/>
          <w:sz w:val="32"/>
          <w:szCs w:val="32"/>
        </w:rPr>
        <w:t>。</w:t>
      </w:r>
    </w:p>
    <w:p w:rsidR="00F001C5" w:rsidRDefault="004E28DA">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2、</w:t>
      </w:r>
      <w:r>
        <w:rPr>
          <w:rFonts w:cs="Tahoma"/>
          <w:color w:val="333333"/>
          <w:sz w:val="32"/>
          <w:szCs w:val="32"/>
        </w:rPr>
        <w:t>201</w:t>
      </w:r>
      <w:r>
        <w:rPr>
          <w:rFonts w:cs="Tahoma" w:hint="eastAsia"/>
          <w:color w:val="333333"/>
          <w:sz w:val="32"/>
          <w:szCs w:val="32"/>
        </w:rPr>
        <w:t>9</w:t>
      </w:r>
      <w:r>
        <w:rPr>
          <w:rFonts w:cs="Tahoma"/>
          <w:color w:val="333333"/>
          <w:sz w:val="32"/>
          <w:szCs w:val="32"/>
        </w:rPr>
        <w:t>年公务接待费</w:t>
      </w:r>
      <w:r>
        <w:rPr>
          <w:rFonts w:cs="Tahoma" w:hint="eastAsia"/>
          <w:color w:val="333333"/>
          <w:sz w:val="32"/>
          <w:szCs w:val="32"/>
        </w:rPr>
        <w:t>0.3</w:t>
      </w:r>
      <w:r>
        <w:rPr>
          <w:rFonts w:cs="Tahoma"/>
          <w:color w:val="333333"/>
          <w:sz w:val="32"/>
          <w:szCs w:val="32"/>
        </w:rPr>
        <w:t>万元，较201</w:t>
      </w:r>
      <w:r>
        <w:rPr>
          <w:rFonts w:cs="Tahoma" w:hint="eastAsia"/>
          <w:color w:val="333333"/>
          <w:sz w:val="32"/>
          <w:szCs w:val="32"/>
        </w:rPr>
        <w:t>8</w:t>
      </w:r>
      <w:r>
        <w:rPr>
          <w:rFonts w:cs="Tahoma"/>
          <w:color w:val="333333"/>
          <w:sz w:val="32"/>
          <w:szCs w:val="32"/>
        </w:rPr>
        <w:t>年度预算</w:t>
      </w:r>
      <w:r>
        <w:rPr>
          <w:rFonts w:cs="Tahoma" w:hint="eastAsia"/>
          <w:color w:val="333333"/>
          <w:sz w:val="32"/>
          <w:szCs w:val="32"/>
        </w:rPr>
        <w:t>0.23</w:t>
      </w:r>
      <w:r>
        <w:rPr>
          <w:rFonts w:cs="Tahoma"/>
          <w:color w:val="333333"/>
          <w:sz w:val="32"/>
          <w:szCs w:val="32"/>
        </w:rPr>
        <w:t>万元，增加0.0</w:t>
      </w:r>
      <w:r>
        <w:rPr>
          <w:rFonts w:cs="Tahoma" w:hint="eastAsia"/>
          <w:color w:val="333333"/>
          <w:sz w:val="32"/>
          <w:szCs w:val="32"/>
        </w:rPr>
        <w:t>7</w:t>
      </w:r>
      <w:r>
        <w:rPr>
          <w:rFonts w:cs="Tahoma"/>
          <w:color w:val="333333"/>
          <w:sz w:val="32"/>
          <w:szCs w:val="32"/>
        </w:rPr>
        <w:t>万元</w:t>
      </w:r>
      <w:r w:rsidR="004837FA">
        <w:rPr>
          <w:rFonts w:cs="Tahoma" w:hint="eastAsia"/>
          <w:color w:val="333333"/>
          <w:sz w:val="32"/>
          <w:szCs w:val="32"/>
        </w:rPr>
        <w:t>，原因是</w:t>
      </w:r>
      <w:r w:rsidR="00F349BE">
        <w:rPr>
          <w:rFonts w:cs="Tahoma" w:hint="eastAsia"/>
          <w:color w:val="333333"/>
          <w:sz w:val="32"/>
          <w:szCs w:val="32"/>
        </w:rPr>
        <w:t>计提基数增加</w:t>
      </w:r>
      <w:r>
        <w:rPr>
          <w:rFonts w:cs="Tahoma"/>
          <w:color w:val="333333"/>
          <w:sz w:val="32"/>
          <w:szCs w:val="32"/>
        </w:rPr>
        <w:t>。</w:t>
      </w:r>
    </w:p>
    <w:p w:rsidR="00F001C5" w:rsidRDefault="004E28D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cs="Tahoma" w:hint="eastAsia"/>
          <w:color w:val="333333"/>
          <w:sz w:val="32"/>
          <w:szCs w:val="32"/>
        </w:rPr>
        <w:t>3、</w:t>
      </w:r>
      <w:r>
        <w:rPr>
          <w:rFonts w:cs="Tahoma"/>
          <w:color w:val="333333"/>
          <w:sz w:val="32"/>
          <w:szCs w:val="32"/>
        </w:rPr>
        <w:t>201</w:t>
      </w:r>
      <w:r>
        <w:rPr>
          <w:rFonts w:cs="Tahoma" w:hint="eastAsia"/>
          <w:color w:val="333333"/>
          <w:sz w:val="32"/>
          <w:szCs w:val="32"/>
        </w:rPr>
        <w:t>9</w:t>
      </w:r>
      <w:r>
        <w:rPr>
          <w:rFonts w:cs="Tahoma"/>
          <w:color w:val="333333"/>
          <w:sz w:val="32"/>
          <w:szCs w:val="32"/>
        </w:rPr>
        <w:t>年因公出国费0万元，较201</w:t>
      </w:r>
      <w:r>
        <w:rPr>
          <w:rFonts w:cs="Tahoma" w:hint="eastAsia"/>
          <w:color w:val="333333"/>
          <w:sz w:val="32"/>
          <w:szCs w:val="32"/>
        </w:rPr>
        <w:t>8</w:t>
      </w:r>
      <w:r>
        <w:rPr>
          <w:rFonts w:cs="Tahoma"/>
          <w:color w:val="333333"/>
          <w:sz w:val="32"/>
          <w:szCs w:val="32"/>
        </w:rPr>
        <w:t>年0万元，与上年持平</w:t>
      </w:r>
      <w:r>
        <w:rPr>
          <w:rFonts w:cs="Tahoma" w:hint="eastAsia"/>
          <w:color w:val="333333"/>
          <w:sz w:val="32"/>
          <w:szCs w:val="32"/>
        </w:rPr>
        <w:t>。</w:t>
      </w:r>
    </w:p>
    <w:p w:rsidR="00F001C5" w:rsidRDefault="004E28DA">
      <w:pPr>
        <w:pStyle w:val="a6"/>
        <w:shd w:val="clear" w:color="auto" w:fill="FFFFFF"/>
        <w:spacing w:before="0" w:beforeAutospacing="0" w:after="0" w:afterAutospacing="0" w:line="293" w:lineRule="atLeast"/>
        <w:rPr>
          <w:rFonts w:cs="Tahoma"/>
          <w:b/>
          <w:bCs/>
          <w:color w:val="333333"/>
          <w:sz w:val="32"/>
          <w:szCs w:val="32"/>
        </w:rPr>
      </w:pPr>
      <w:r>
        <w:rPr>
          <w:rFonts w:cs="Tahoma"/>
          <w:b/>
          <w:bCs/>
          <w:color w:val="333333"/>
          <w:sz w:val="32"/>
          <w:szCs w:val="32"/>
        </w:rPr>
        <w:t>五、绩效预算信息情况</w:t>
      </w:r>
    </w:p>
    <w:p w:rsidR="00F001C5" w:rsidRDefault="004E28DA">
      <w:pPr>
        <w:pStyle w:val="a6"/>
        <w:shd w:val="clear" w:color="auto" w:fill="FFFFFF"/>
        <w:spacing w:before="0" w:beforeAutospacing="0" w:after="0" w:afterAutospacing="0" w:line="293" w:lineRule="atLeast"/>
        <w:ind w:firstLineChars="200" w:firstLine="643"/>
        <w:rPr>
          <w:rFonts w:cs="Tahoma"/>
          <w:b/>
          <w:color w:val="333333"/>
          <w:sz w:val="32"/>
          <w:szCs w:val="32"/>
        </w:rPr>
      </w:pPr>
      <w:r>
        <w:rPr>
          <w:rFonts w:cs="Tahoma" w:hint="eastAsia"/>
          <w:b/>
          <w:color w:val="333333"/>
          <w:sz w:val="32"/>
          <w:szCs w:val="32"/>
        </w:rPr>
        <w:t>总体绩效目标：</w:t>
      </w:r>
    </w:p>
    <w:p w:rsidR="00F001C5" w:rsidRDefault="004E28DA">
      <w:pPr>
        <w:pStyle w:val="a6"/>
        <w:shd w:val="clear" w:color="auto" w:fill="FFFFFF"/>
        <w:spacing w:before="0" w:beforeAutospacing="0" w:after="0" w:afterAutospacing="0" w:line="293" w:lineRule="atLeast"/>
        <w:ind w:firstLine="645"/>
        <w:rPr>
          <w:rFonts w:ascii="Tahoma" w:hAnsi="Tahoma" w:cs="Tahoma"/>
          <w:color w:val="333333"/>
          <w:sz w:val="20"/>
          <w:szCs w:val="20"/>
        </w:rPr>
      </w:pPr>
      <w:r>
        <w:rPr>
          <w:rFonts w:cs="Tahoma"/>
          <w:color w:val="333333"/>
          <w:sz w:val="32"/>
          <w:szCs w:val="32"/>
        </w:rPr>
        <w:t>按照区财政局有关预算绩效管理工作要求，我局开展了预算绩效管理工作，共涉及金额为</w:t>
      </w:r>
      <w:r>
        <w:rPr>
          <w:rFonts w:cs="Tahoma" w:hint="eastAsia"/>
          <w:color w:val="333333"/>
          <w:sz w:val="32"/>
          <w:szCs w:val="32"/>
        </w:rPr>
        <w:t>464.73</w:t>
      </w:r>
      <w:r>
        <w:rPr>
          <w:rFonts w:cs="Tahoma"/>
          <w:color w:val="333333"/>
          <w:sz w:val="32"/>
          <w:szCs w:val="32"/>
        </w:rPr>
        <w:t>万元。</w:t>
      </w:r>
    </w:p>
    <w:p w:rsidR="00F001C5" w:rsidRDefault="004E28DA">
      <w:pPr>
        <w:pStyle w:val="a6"/>
        <w:shd w:val="clear" w:color="auto" w:fill="FFFFFF"/>
        <w:spacing w:before="0" w:beforeAutospacing="0" w:after="0" w:afterAutospacing="0" w:line="293" w:lineRule="atLeast"/>
        <w:ind w:firstLineChars="300" w:firstLine="960"/>
        <w:rPr>
          <w:rFonts w:ascii="Tahoma" w:hAnsi="Tahoma" w:cs="Tahoma"/>
          <w:color w:val="333333"/>
          <w:sz w:val="20"/>
          <w:szCs w:val="20"/>
        </w:rPr>
      </w:pPr>
      <w:r>
        <w:rPr>
          <w:rFonts w:cs="Tahoma"/>
          <w:color w:val="333333"/>
          <w:sz w:val="32"/>
          <w:szCs w:val="32"/>
        </w:rPr>
        <w:lastRenderedPageBreak/>
        <w:t>1、用于污水处理厂服务费（第</w:t>
      </w:r>
      <w:r>
        <w:rPr>
          <w:rFonts w:cs="Tahoma" w:hint="eastAsia"/>
          <w:color w:val="333333"/>
          <w:sz w:val="32"/>
          <w:szCs w:val="32"/>
        </w:rPr>
        <w:t>二</w:t>
      </w:r>
      <w:r>
        <w:rPr>
          <w:rFonts w:cs="Tahoma"/>
          <w:color w:val="333333"/>
          <w:sz w:val="32"/>
          <w:szCs w:val="32"/>
        </w:rPr>
        <w:t>年），费用</w:t>
      </w:r>
      <w:r>
        <w:rPr>
          <w:rFonts w:cs="Tahoma" w:hint="eastAsia"/>
          <w:color w:val="333333"/>
          <w:sz w:val="32"/>
          <w:szCs w:val="32"/>
        </w:rPr>
        <w:t>452.53</w:t>
      </w:r>
      <w:r>
        <w:rPr>
          <w:rFonts w:cs="Tahoma"/>
          <w:color w:val="333333"/>
          <w:sz w:val="32"/>
          <w:szCs w:val="32"/>
        </w:rPr>
        <w:t>万元。</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2、为进一步规范城市管理行为和更好的开展城市管理工作，展现良好的城管工作形象，增加工作透明度，需购置城管执法人员制式服装，需费用</w:t>
      </w:r>
      <w:r>
        <w:rPr>
          <w:rFonts w:cs="Tahoma" w:hint="eastAsia"/>
          <w:color w:val="333333"/>
          <w:sz w:val="32"/>
          <w:szCs w:val="32"/>
        </w:rPr>
        <w:t>1.6</w:t>
      </w:r>
      <w:r>
        <w:rPr>
          <w:rFonts w:cs="Tahoma"/>
          <w:color w:val="333333"/>
          <w:sz w:val="32"/>
          <w:szCs w:val="32"/>
        </w:rPr>
        <w:t>万元。</w:t>
      </w:r>
    </w:p>
    <w:p w:rsidR="00F001C5" w:rsidRDefault="004E28DA">
      <w:pPr>
        <w:pStyle w:val="a6"/>
        <w:shd w:val="clear" w:color="auto" w:fill="FFFFFF"/>
        <w:spacing w:before="0" w:beforeAutospacing="0" w:after="0" w:afterAutospacing="0" w:line="293" w:lineRule="atLeast"/>
        <w:rPr>
          <w:rFonts w:cs="Tahoma"/>
          <w:color w:val="333333"/>
          <w:sz w:val="32"/>
          <w:szCs w:val="32"/>
        </w:rPr>
      </w:pPr>
      <w:r>
        <w:rPr>
          <w:rFonts w:cs="Tahoma"/>
          <w:color w:val="333333"/>
          <w:sz w:val="32"/>
          <w:szCs w:val="32"/>
        </w:rPr>
        <w:t>   3、</w:t>
      </w:r>
      <w:r>
        <w:rPr>
          <w:rFonts w:cs="Tahoma" w:hint="eastAsia"/>
          <w:color w:val="333333"/>
          <w:sz w:val="32"/>
          <w:szCs w:val="32"/>
        </w:rPr>
        <w:t>用于人防专用设备购置费用，需资金8万元。</w:t>
      </w:r>
    </w:p>
    <w:p w:rsidR="00F001C5" w:rsidRDefault="004E28DA">
      <w:pPr>
        <w:pStyle w:val="a6"/>
        <w:shd w:val="clear" w:color="auto" w:fill="FFFFFF"/>
        <w:spacing w:before="0" w:beforeAutospacing="0" w:after="0" w:afterAutospacing="0" w:line="293" w:lineRule="atLeast"/>
        <w:ind w:firstLine="960"/>
        <w:rPr>
          <w:rFonts w:cs="Tahoma"/>
          <w:color w:val="333333"/>
          <w:sz w:val="32"/>
          <w:szCs w:val="32"/>
        </w:rPr>
      </w:pPr>
      <w:r>
        <w:rPr>
          <w:rFonts w:cs="Tahoma" w:hint="eastAsia"/>
          <w:color w:val="333333"/>
          <w:sz w:val="32"/>
          <w:szCs w:val="32"/>
        </w:rPr>
        <w:t>4、用于综合业务经费费用，需资金2万元。</w:t>
      </w:r>
    </w:p>
    <w:p w:rsidR="00F001C5" w:rsidRDefault="004E28DA">
      <w:pPr>
        <w:pStyle w:val="a6"/>
        <w:shd w:val="clear" w:color="auto" w:fill="FFFFFF"/>
        <w:spacing w:before="0" w:beforeAutospacing="0" w:after="0" w:afterAutospacing="0" w:line="293" w:lineRule="atLeast"/>
        <w:ind w:firstLine="960"/>
        <w:rPr>
          <w:rFonts w:cs="Tahoma"/>
          <w:color w:val="333333"/>
          <w:sz w:val="32"/>
          <w:szCs w:val="32"/>
        </w:rPr>
      </w:pPr>
      <w:r>
        <w:rPr>
          <w:rFonts w:cs="Tahoma" w:hint="eastAsia"/>
          <w:color w:val="333333"/>
          <w:sz w:val="32"/>
          <w:szCs w:val="32"/>
        </w:rPr>
        <w:t>5、用于化肥厂市政修缮、清淤等费用，需资金0.6万元。</w:t>
      </w: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p>
    <w:p w:rsidR="00F001C5" w:rsidRDefault="004E28DA">
      <w:pPr>
        <w:pStyle w:val="a6"/>
        <w:shd w:val="clear" w:color="auto" w:fill="FFFFFF"/>
        <w:spacing w:before="0" w:beforeAutospacing="0" w:after="0" w:afterAutospacing="0" w:line="293" w:lineRule="atLeast"/>
        <w:ind w:firstLine="960"/>
        <w:rPr>
          <w:rFonts w:cs="Tahoma"/>
          <w:b/>
          <w:color w:val="333333"/>
          <w:sz w:val="32"/>
          <w:szCs w:val="32"/>
        </w:rPr>
      </w:pPr>
      <w:r>
        <w:rPr>
          <w:rFonts w:cs="Tahoma" w:hint="eastAsia"/>
          <w:b/>
          <w:color w:val="333333"/>
          <w:sz w:val="32"/>
          <w:szCs w:val="32"/>
        </w:rPr>
        <w:br/>
      </w: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p>
    <w:p w:rsidR="00F001C5" w:rsidRDefault="00F001C5">
      <w:pPr>
        <w:pStyle w:val="a6"/>
        <w:shd w:val="clear" w:color="auto" w:fill="FFFFFF"/>
        <w:spacing w:before="0" w:beforeAutospacing="0" w:after="0" w:afterAutospacing="0" w:line="293" w:lineRule="atLeast"/>
        <w:ind w:firstLine="960"/>
        <w:rPr>
          <w:rFonts w:cs="Tahoma"/>
          <w:b/>
          <w:color w:val="333333"/>
          <w:sz w:val="32"/>
          <w:szCs w:val="32"/>
        </w:rPr>
      </w:pPr>
      <w:bookmarkStart w:id="0" w:name="_GoBack"/>
      <w:bookmarkEnd w:id="0"/>
    </w:p>
    <w:p w:rsidR="00F001C5" w:rsidRDefault="004E28DA">
      <w:pPr>
        <w:pStyle w:val="a6"/>
        <w:shd w:val="clear" w:color="auto" w:fill="FFFFFF"/>
        <w:spacing w:before="0" w:beforeAutospacing="0" w:after="0" w:afterAutospacing="0" w:line="293" w:lineRule="atLeast"/>
        <w:ind w:firstLine="960"/>
        <w:rPr>
          <w:rFonts w:cs="Tahoma"/>
          <w:b/>
          <w:color w:val="333333"/>
          <w:sz w:val="32"/>
          <w:szCs w:val="32"/>
        </w:rPr>
      </w:pPr>
      <w:r>
        <w:rPr>
          <w:rFonts w:cs="Tahoma" w:hint="eastAsia"/>
          <w:b/>
          <w:color w:val="333333"/>
          <w:sz w:val="32"/>
          <w:szCs w:val="32"/>
        </w:rPr>
        <w:t>部门职责-工作活动绩效目标：</w:t>
      </w:r>
    </w:p>
    <w:p w:rsidR="00F001C5" w:rsidRDefault="00F001C5">
      <w:pPr>
        <w:pStyle w:val="a6"/>
        <w:shd w:val="clear" w:color="auto" w:fill="FFFFFF"/>
        <w:spacing w:before="0" w:beforeAutospacing="0" w:after="0" w:afterAutospacing="0" w:line="293" w:lineRule="atLeast"/>
        <w:rPr>
          <w:rFonts w:cs="Tahoma"/>
          <w:color w:val="333333"/>
          <w:sz w:val="32"/>
          <w:szCs w:val="32"/>
        </w:rPr>
      </w:pPr>
    </w:p>
    <w:p w:rsidR="00F001C5" w:rsidRDefault="004E28DA">
      <w:pPr>
        <w:jc w:val="center"/>
        <w:outlineLvl w:val="0"/>
        <w:rPr>
          <w:rFonts w:ascii="方正小标宋_GBK" w:eastAsia="方正小标宋_GBK"/>
          <w:sz w:val="32"/>
        </w:rPr>
      </w:pPr>
      <w:bookmarkStart w:id="1" w:name="_Toc471998877"/>
      <w:bookmarkStart w:id="2" w:name="_Toc471398463"/>
      <w:bookmarkStart w:id="3" w:name="_Toc476833494"/>
      <w:r>
        <w:rPr>
          <w:rFonts w:ascii="方正小标宋_GBK" w:eastAsia="方正小标宋_GBK" w:hint="eastAsia"/>
          <w:sz w:val="32"/>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F001C5">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001C5" w:rsidRDefault="004E28DA">
            <w:pPr>
              <w:spacing w:line="300" w:lineRule="exact"/>
              <w:jc w:val="left"/>
              <w:rPr>
                <w:rFonts w:ascii="方正小标宋_GBK"/>
                <w:sz w:val="24"/>
              </w:rPr>
            </w:pPr>
            <w:r>
              <w:rPr>
                <w:rFonts w:ascii="方正小标宋_GBK" w:hint="eastAsia"/>
                <w:sz w:val="24"/>
              </w:rPr>
              <w:t>芦台经济开发区城乡规划建设管理局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001C5" w:rsidRDefault="004E28DA">
            <w:pPr>
              <w:spacing w:line="300" w:lineRule="exact"/>
              <w:jc w:val="right"/>
              <w:rPr>
                <w:rFonts w:ascii="方正书宋_GBK" w:eastAsia="方正书宋_GBK"/>
                <w:sz w:val="24"/>
              </w:rPr>
            </w:pPr>
            <w:r>
              <w:rPr>
                <w:rFonts w:ascii="方正书宋_GBK" w:eastAsia="方正书宋_GBK" w:hint="eastAsia"/>
                <w:sz w:val="24"/>
              </w:rPr>
              <w:t>单位：元</w:t>
            </w:r>
          </w:p>
        </w:tc>
      </w:tr>
      <w:tr w:rsidR="00F001C5">
        <w:trPr>
          <w:trHeight w:val="227"/>
          <w:tblHeader/>
          <w:jc w:val="center"/>
        </w:trPr>
        <w:tc>
          <w:tcPr>
            <w:tcW w:w="2341" w:type="dxa"/>
            <w:vMerge w:val="restart"/>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评价标准</w:t>
            </w:r>
          </w:p>
        </w:tc>
      </w:tr>
      <w:tr w:rsidR="00F001C5">
        <w:trPr>
          <w:trHeight w:val="227"/>
          <w:tblHeader/>
          <w:jc w:val="center"/>
        </w:trPr>
        <w:tc>
          <w:tcPr>
            <w:tcW w:w="2341" w:type="dxa"/>
            <w:vMerge/>
            <w:shd w:val="clear" w:color="auto" w:fill="auto"/>
            <w:vAlign w:val="center"/>
          </w:tcPr>
          <w:p w:rsidR="00F001C5" w:rsidRDefault="00F001C5">
            <w:pPr>
              <w:spacing w:line="300" w:lineRule="exact"/>
              <w:jc w:val="left"/>
              <w:outlineLvl w:val="0"/>
            </w:pPr>
          </w:p>
        </w:tc>
        <w:tc>
          <w:tcPr>
            <w:tcW w:w="1276" w:type="dxa"/>
            <w:vMerge/>
            <w:shd w:val="clear" w:color="auto" w:fill="auto"/>
            <w:vAlign w:val="center"/>
          </w:tcPr>
          <w:p w:rsidR="00F001C5" w:rsidRDefault="00F001C5">
            <w:pPr>
              <w:spacing w:line="300" w:lineRule="exact"/>
              <w:jc w:val="left"/>
              <w:outlineLvl w:val="0"/>
            </w:pPr>
          </w:p>
        </w:tc>
        <w:tc>
          <w:tcPr>
            <w:tcW w:w="2976" w:type="dxa"/>
            <w:vMerge/>
            <w:shd w:val="clear" w:color="auto" w:fill="auto"/>
            <w:vAlign w:val="center"/>
          </w:tcPr>
          <w:p w:rsidR="00F001C5" w:rsidRDefault="00F001C5">
            <w:pPr>
              <w:spacing w:line="300" w:lineRule="exact"/>
              <w:jc w:val="left"/>
              <w:outlineLvl w:val="0"/>
            </w:pPr>
          </w:p>
        </w:tc>
        <w:tc>
          <w:tcPr>
            <w:tcW w:w="2976" w:type="dxa"/>
            <w:vMerge/>
            <w:shd w:val="clear" w:color="auto" w:fill="auto"/>
            <w:vAlign w:val="center"/>
          </w:tcPr>
          <w:p w:rsidR="00F001C5" w:rsidRDefault="00F001C5">
            <w:pPr>
              <w:spacing w:line="300" w:lineRule="exact"/>
              <w:jc w:val="left"/>
              <w:outlineLvl w:val="0"/>
            </w:pPr>
          </w:p>
        </w:tc>
        <w:tc>
          <w:tcPr>
            <w:tcW w:w="1417" w:type="dxa"/>
            <w:vMerge/>
            <w:shd w:val="clear" w:color="auto" w:fill="auto"/>
            <w:vAlign w:val="center"/>
          </w:tcPr>
          <w:p w:rsidR="00F001C5" w:rsidRDefault="00F001C5">
            <w:pPr>
              <w:spacing w:line="300" w:lineRule="exact"/>
              <w:jc w:val="left"/>
              <w:outlineLvl w:val="0"/>
            </w:pPr>
          </w:p>
        </w:tc>
        <w:tc>
          <w:tcPr>
            <w:tcW w:w="737" w:type="dxa"/>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F001C5" w:rsidRDefault="004E28DA">
            <w:pPr>
              <w:spacing w:line="300" w:lineRule="exact"/>
              <w:jc w:val="center"/>
              <w:rPr>
                <w:rFonts w:ascii="方正书宋_GBK" w:eastAsia="方正书宋_GBK"/>
                <w:b/>
              </w:rPr>
            </w:pPr>
            <w:r>
              <w:rPr>
                <w:rFonts w:ascii="方正书宋_GBK" w:eastAsia="方正书宋_GBK" w:hint="eastAsia"/>
                <w:b/>
              </w:rPr>
              <w:t>差</w:t>
            </w:r>
          </w:p>
        </w:tc>
      </w:tr>
      <w:tr w:rsidR="00F001C5">
        <w:trPr>
          <w:trHeight w:val="227"/>
          <w:jc w:val="center"/>
        </w:trPr>
        <w:tc>
          <w:tcPr>
            <w:tcW w:w="2341" w:type="dxa"/>
            <w:vMerge w:val="restart"/>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t>一、建筑工程质量安全监管</w:t>
            </w:r>
          </w:p>
        </w:tc>
        <w:tc>
          <w:tcPr>
            <w:tcW w:w="1276" w:type="dxa"/>
            <w:vMerge w:val="restart"/>
            <w:vAlign w:val="center"/>
          </w:tcPr>
          <w:p w:rsidR="00F001C5" w:rsidRDefault="00F001C5">
            <w:pPr>
              <w:spacing w:line="560" w:lineRule="atLeast"/>
              <w:jc w:val="left"/>
              <w:rPr>
                <w:rFonts w:ascii="仿宋" w:eastAsia="仿宋" w:hAnsi="仿宋" w:cs="仿宋"/>
                <w:szCs w:val="21"/>
              </w:rPr>
            </w:pPr>
          </w:p>
        </w:tc>
        <w:tc>
          <w:tcPr>
            <w:tcW w:w="2976" w:type="dxa"/>
            <w:vMerge w:val="restart"/>
            <w:vAlign w:val="center"/>
          </w:tcPr>
          <w:p w:rsidR="00F001C5" w:rsidRDefault="004E28DA">
            <w:pPr>
              <w:spacing w:line="560" w:lineRule="atLeast"/>
              <w:jc w:val="left"/>
              <w:rPr>
                <w:rFonts w:ascii="仿宋" w:eastAsia="仿宋" w:hAnsi="仿宋" w:cs="仿宋"/>
                <w:sz w:val="15"/>
                <w:szCs w:val="21"/>
              </w:rPr>
            </w:pPr>
            <w:r>
              <w:rPr>
                <w:rFonts w:ascii="仿宋" w:eastAsia="仿宋" w:hAnsi="仿宋" w:cs="仿宋" w:hint="eastAsia"/>
                <w:sz w:val="24"/>
                <w:szCs w:val="21"/>
              </w:rPr>
              <w:t>落实工程建设地方标准、工程质量、建筑安全生产的政策和规章制度，减少建筑安全生产事故，提高行业水平。</w:t>
            </w:r>
          </w:p>
        </w:tc>
        <w:tc>
          <w:tcPr>
            <w:tcW w:w="2976" w:type="dxa"/>
            <w:vMerge w:val="restart"/>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加强工程勘察设计行业管理，提高建筑工程勘察设计质量水平</w:t>
            </w: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工程质量投诉结案率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&lt;85%</w:t>
            </w:r>
          </w:p>
        </w:tc>
      </w:tr>
      <w:tr w:rsidR="00F001C5">
        <w:trPr>
          <w:trHeight w:val="227"/>
          <w:jc w:val="center"/>
        </w:trPr>
        <w:tc>
          <w:tcPr>
            <w:tcW w:w="2341" w:type="dxa"/>
            <w:vMerge/>
            <w:vAlign w:val="center"/>
          </w:tcPr>
          <w:p w:rsidR="00F001C5" w:rsidRDefault="00F001C5">
            <w:pPr>
              <w:spacing w:line="560" w:lineRule="atLeast"/>
              <w:jc w:val="left"/>
              <w:rPr>
                <w:rFonts w:ascii="仿宋" w:eastAsia="仿宋" w:hAnsi="仿宋" w:cs="仿宋"/>
                <w:b/>
                <w:szCs w:val="21"/>
              </w:rPr>
            </w:pPr>
          </w:p>
        </w:tc>
        <w:tc>
          <w:tcPr>
            <w:tcW w:w="1276" w:type="dxa"/>
            <w:vMerge/>
            <w:vAlign w:val="center"/>
          </w:tcPr>
          <w:p w:rsidR="00F001C5" w:rsidRDefault="00F001C5">
            <w:pPr>
              <w:spacing w:line="560" w:lineRule="atLeast"/>
              <w:jc w:val="left"/>
              <w:rPr>
                <w:rFonts w:ascii="仿宋" w:eastAsia="仿宋" w:hAnsi="仿宋" w:cs="仿宋"/>
                <w:szCs w:val="21"/>
              </w:rPr>
            </w:pPr>
          </w:p>
        </w:tc>
        <w:tc>
          <w:tcPr>
            <w:tcW w:w="2976" w:type="dxa"/>
            <w:vMerge/>
            <w:vAlign w:val="center"/>
          </w:tcPr>
          <w:p w:rsidR="00F001C5" w:rsidRDefault="00F001C5">
            <w:pPr>
              <w:spacing w:line="560" w:lineRule="atLeast"/>
              <w:jc w:val="left"/>
              <w:rPr>
                <w:rFonts w:ascii="仿宋" w:eastAsia="仿宋" w:hAnsi="仿宋" w:cs="仿宋"/>
                <w:szCs w:val="21"/>
              </w:rPr>
            </w:pPr>
          </w:p>
        </w:tc>
        <w:tc>
          <w:tcPr>
            <w:tcW w:w="2976" w:type="dxa"/>
            <w:vMerge/>
            <w:vAlign w:val="center"/>
          </w:tcPr>
          <w:p w:rsidR="00F001C5" w:rsidRDefault="00F001C5">
            <w:pPr>
              <w:spacing w:line="560" w:lineRule="atLeast"/>
              <w:jc w:val="left"/>
              <w:rPr>
                <w:rFonts w:ascii="仿宋" w:eastAsia="仿宋" w:hAnsi="仿宋" w:cs="仿宋"/>
                <w:szCs w:val="21"/>
              </w:rPr>
            </w:pP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 w:val="20"/>
                <w:szCs w:val="21"/>
              </w:rPr>
              <w:t>建筑工程施工现场达标率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≥97%</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≥80%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&lt;80%</w:t>
            </w:r>
          </w:p>
        </w:tc>
      </w:tr>
      <w:tr w:rsidR="00F001C5">
        <w:trPr>
          <w:trHeight w:val="227"/>
          <w:jc w:val="center"/>
        </w:trPr>
        <w:tc>
          <w:tcPr>
            <w:tcW w:w="2341" w:type="dxa"/>
            <w:vMerge/>
            <w:vAlign w:val="center"/>
          </w:tcPr>
          <w:p w:rsidR="00F001C5" w:rsidRDefault="00F001C5">
            <w:pPr>
              <w:spacing w:line="560" w:lineRule="atLeast"/>
              <w:jc w:val="left"/>
              <w:rPr>
                <w:rFonts w:ascii="仿宋" w:eastAsia="仿宋" w:hAnsi="仿宋" w:cs="仿宋"/>
                <w:b/>
                <w:szCs w:val="21"/>
              </w:rPr>
            </w:pPr>
          </w:p>
        </w:tc>
        <w:tc>
          <w:tcPr>
            <w:tcW w:w="1276" w:type="dxa"/>
            <w:vMerge/>
            <w:vAlign w:val="center"/>
          </w:tcPr>
          <w:p w:rsidR="00F001C5" w:rsidRDefault="00F001C5">
            <w:pPr>
              <w:spacing w:line="560" w:lineRule="atLeast"/>
              <w:jc w:val="left"/>
              <w:rPr>
                <w:rFonts w:ascii="仿宋" w:eastAsia="仿宋" w:hAnsi="仿宋" w:cs="仿宋"/>
                <w:szCs w:val="21"/>
              </w:rPr>
            </w:pPr>
          </w:p>
        </w:tc>
        <w:tc>
          <w:tcPr>
            <w:tcW w:w="2976" w:type="dxa"/>
            <w:vMerge/>
            <w:vAlign w:val="center"/>
          </w:tcPr>
          <w:p w:rsidR="00F001C5" w:rsidRDefault="00F001C5">
            <w:pPr>
              <w:spacing w:line="560" w:lineRule="atLeast"/>
              <w:jc w:val="left"/>
              <w:rPr>
                <w:rFonts w:ascii="仿宋" w:eastAsia="仿宋" w:hAnsi="仿宋" w:cs="仿宋"/>
                <w:szCs w:val="21"/>
              </w:rPr>
            </w:pPr>
          </w:p>
        </w:tc>
        <w:tc>
          <w:tcPr>
            <w:tcW w:w="2976" w:type="dxa"/>
            <w:vMerge/>
            <w:vAlign w:val="center"/>
          </w:tcPr>
          <w:p w:rsidR="00F001C5" w:rsidRDefault="00F001C5">
            <w:pPr>
              <w:spacing w:line="560" w:lineRule="atLeast"/>
              <w:jc w:val="left"/>
              <w:rPr>
                <w:rFonts w:ascii="仿宋" w:eastAsia="仿宋" w:hAnsi="仿宋" w:cs="仿宋"/>
                <w:szCs w:val="21"/>
              </w:rPr>
            </w:pP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施工图设计文件审查率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&lt;90%</w:t>
            </w:r>
          </w:p>
        </w:tc>
      </w:tr>
      <w:bookmarkEnd w:id="2"/>
      <w:bookmarkEnd w:id="3"/>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t>二、城市容貌环境综合整治</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负责城区市容环境治理、城建监察等各项工作，改善人居环</w:t>
            </w:r>
            <w:r>
              <w:rPr>
                <w:rFonts w:ascii="仿宋" w:eastAsia="仿宋" w:hAnsi="仿宋" w:cs="仿宋" w:hint="eastAsia"/>
                <w:szCs w:val="21"/>
              </w:rPr>
              <w:lastRenderedPageBreak/>
              <w:t>境，</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lastRenderedPageBreak/>
              <w:t>推进洁净城市创建进程，</w:t>
            </w: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市容环境治理完成率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&lt;90%</w:t>
            </w: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lastRenderedPageBreak/>
              <w:t>三、推进城镇化建设</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负责农村危房改造，推进小城镇村庄人居环境改善</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F001C5" w:rsidRDefault="00F001C5">
            <w:pPr>
              <w:spacing w:line="560" w:lineRule="atLeast"/>
              <w:jc w:val="left"/>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&lt;90%</w:t>
            </w: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t>四、房地产市场监管</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规范房地产市场秩序、监督管理房地产市场。落实房地产市场监管、房地产开发、物业管理的规章制度。</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加强市场监测，促进全区房地产市场持续健康发展</w:t>
            </w: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房地产市场统计分析工作完成及时率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&lt;90%</w:t>
            </w:r>
          </w:p>
        </w:tc>
      </w:tr>
      <w:tr w:rsidR="00F001C5">
        <w:trPr>
          <w:trHeight w:val="881"/>
          <w:jc w:val="center"/>
        </w:trPr>
        <w:tc>
          <w:tcPr>
            <w:tcW w:w="2341" w:type="dxa"/>
            <w:vAlign w:val="center"/>
          </w:tcPr>
          <w:p w:rsidR="00F001C5" w:rsidRDefault="004E28DA">
            <w:pPr>
              <w:spacing w:line="300" w:lineRule="exact"/>
              <w:jc w:val="left"/>
              <w:rPr>
                <w:rFonts w:ascii="方正书宋_GBK" w:eastAsia="方正书宋_GBK" w:hAnsi="Calibri" w:cs="黑体"/>
                <w:b/>
              </w:rPr>
            </w:pPr>
            <w:r>
              <w:rPr>
                <w:rFonts w:ascii="方正书宋_GBK" w:eastAsia="方正书宋_GBK" w:hAnsi="Calibri" w:cs="黑体" w:hint="eastAsia"/>
                <w:b/>
              </w:rPr>
              <w:t>五、城乡规划</w:t>
            </w:r>
          </w:p>
        </w:tc>
        <w:tc>
          <w:tcPr>
            <w:tcW w:w="1276" w:type="dxa"/>
            <w:vAlign w:val="center"/>
          </w:tcPr>
          <w:p w:rsidR="00F001C5" w:rsidRDefault="00F001C5">
            <w:pPr>
              <w:spacing w:line="300" w:lineRule="exact"/>
              <w:jc w:val="left"/>
              <w:rPr>
                <w:rFonts w:ascii="方正书宋_GBK" w:eastAsia="方正书宋_GBK" w:hAnsi="Calibri" w:cs="黑体"/>
              </w:rPr>
            </w:pP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组织区域城镇体系规划编制，参与各级、各部门依法编制总体规划、专项规划、控制性详细规划、历史文化名城和街区保护规划等。对由区审批的规划进行监督实施。</w:t>
            </w: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加强城乡规划管理，协调城乡空间布局，改善人居环境，促进城乡经济社会全面协调可持续发展。</w:t>
            </w:r>
          </w:p>
        </w:tc>
        <w:tc>
          <w:tcPr>
            <w:tcW w:w="1417" w:type="dxa"/>
            <w:vAlign w:val="center"/>
          </w:tcPr>
          <w:p w:rsidR="00F001C5" w:rsidRDefault="00F001C5">
            <w:pPr>
              <w:spacing w:line="300" w:lineRule="exact"/>
              <w:jc w:val="left"/>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r>
      <w:tr w:rsidR="00F001C5">
        <w:trPr>
          <w:trHeight w:val="227"/>
          <w:jc w:val="center"/>
        </w:trPr>
        <w:tc>
          <w:tcPr>
            <w:tcW w:w="2341" w:type="dxa"/>
            <w:vAlign w:val="center"/>
          </w:tcPr>
          <w:p w:rsidR="00F001C5" w:rsidRDefault="004E28DA">
            <w:pPr>
              <w:spacing w:line="300" w:lineRule="exact"/>
              <w:jc w:val="left"/>
              <w:rPr>
                <w:rFonts w:ascii="方正书宋_GBK" w:eastAsia="方正书宋_GBK" w:hAnsi="Calibri" w:cs="黑体"/>
                <w:b/>
              </w:rPr>
            </w:pPr>
            <w:r>
              <w:rPr>
                <w:rFonts w:ascii="方正书宋_GBK" w:eastAsia="方正书宋_GBK" w:hAnsi="Calibri" w:cs="黑体"/>
                <w:b/>
              </w:rPr>
              <w:t>1</w:t>
            </w:r>
            <w:r>
              <w:rPr>
                <w:rFonts w:ascii="方正书宋_GBK" w:eastAsia="方正书宋_GBK" w:hAnsi="Calibri" w:cs="黑体" w:hint="eastAsia"/>
                <w:b/>
              </w:rPr>
              <w:t>、村庄规划</w:t>
            </w:r>
          </w:p>
        </w:tc>
        <w:tc>
          <w:tcPr>
            <w:tcW w:w="1276" w:type="dxa"/>
            <w:vAlign w:val="center"/>
          </w:tcPr>
          <w:p w:rsidR="00F001C5" w:rsidRDefault="00F001C5">
            <w:pPr>
              <w:spacing w:line="300" w:lineRule="exact"/>
              <w:jc w:val="left"/>
              <w:rPr>
                <w:rFonts w:ascii="方正书宋_GBK" w:eastAsia="方正书宋_GBK" w:hAnsi="Calibri" w:cs="黑体"/>
              </w:rPr>
            </w:pP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完成年度村庄工作任务</w:t>
            </w: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完成年度村镇规划编制任务</w:t>
            </w:r>
          </w:p>
        </w:tc>
        <w:tc>
          <w:tcPr>
            <w:tcW w:w="1417"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年度村镇规划编制完成率</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95%</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85%</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75%</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rPr>
              <w:t>&lt;75%</w:t>
            </w:r>
          </w:p>
        </w:tc>
      </w:tr>
      <w:tr w:rsidR="00F001C5">
        <w:trPr>
          <w:trHeight w:val="227"/>
          <w:jc w:val="center"/>
        </w:trPr>
        <w:tc>
          <w:tcPr>
            <w:tcW w:w="2341" w:type="dxa"/>
            <w:vAlign w:val="center"/>
          </w:tcPr>
          <w:p w:rsidR="00F001C5" w:rsidRDefault="004E28DA">
            <w:pPr>
              <w:spacing w:line="300" w:lineRule="exact"/>
              <w:jc w:val="left"/>
              <w:rPr>
                <w:rFonts w:ascii="方正书宋_GBK" w:eastAsia="方正书宋_GBK" w:hAnsi="Calibri" w:cs="黑体"/>
                <w:b/>
              </w:rPr>
            </w:pPr>
            <w:r>
              <w:rPr>
                <w:rFonts w:ascii="方正书宋_GBK" w:eastAsia="方正书宋_GBK" w:hAnsi="Calibri" w:cs="黑体" w:hint="eastAsia"/>
                <w:b/>
              </w:rPr>
              <w:t>六、城乡规划</w:t>
            </w:r>
          </w:p>
        </w:tc>
        <w:tc>
          <w:tcPr>
            <w:tcW w:w="1276" w:type="dxa"/>
            <w:vAlign w:val="center"/>
          </w:tcPr>
          <w:p w:rsidR="00F001C5" w:rsidRDefault="00F001C5">
            <w:pPr>
              <w:spacing w:line="300" w:lineRule="exact"/>
              <w:jc w:val="left"/>
              <w:rPr>
                <w:rFonts w:ascii="方正书宋_GBK" w:eastAsia="方正书宋_GBK" w:hAnsi="Calibri" w:cs="黑体"/>
              </w:rPr>
            </w:pP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依法编制总体规划、专项规划、控制性详细规划</w:t>
            </w: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加强城乡规划管理，协调城乡空间布局，改善人居环境，促</w:t>
            </w:r>
            <w:r>
              <w:rPr>
                <w:rFonts w:ascii="方正书宋_GBK" w:eastAsia="方正书宋_GBK" w:hAnsi="Calibri" w:cs="黑体" w:hint="eastAsia"/>
              </w:rPr>
              <w:lastRenderedPageBreak/>
              <w:t>进城乡经济社会全面协调可持续发展。</w:t>
            </w:r>
          </w:p>
        </w:tc>
        <w:tc>
          <w:tcPr>
            <w:tcW w:w="1417" w:type="dxa"/>
            <w:vAlign w:val="center"/>
          </w:tcPr>
          <w:p w:rsidR="00F001C5" w:rsidRDefault="00F001C5">
            <w:pPr>
              <w:spacing w:line="300" w:lineRule="exact"/>
              <w:jc w:val="left"/>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r>
      <w:tr w:rsidR="00F001C5">
        <w:trPr>
          <w:trHeight w:val="1651"/>
          <w:jc w:val="center"/>
        </w:trPr>
        <w:tc>
          <w:tcPr>
            <w:tcW w:w="2341" w:type="dxa"/>
            <w:vAlign w:val="center"/>
          </w:tcPr>
          <w:p w:rsidR="00F001C5" w:rsidRDefault="004E28DA">
            <w:pPr>
              <w:spacing w:line="300" w:lineRule="exact"/>
              <w:jc w:val="left"/>
              <w:rPr>
                <w:rFonts w:ascii="方正书宋_GBK" w:eastAsia="方正书宋_GBK" w:hAnsi="Calibri" w:cs="黑体"/>
                <w:b/>
              </w:rPr>
            </w:pPr>
            <w:r>
              <w:rPr>
                <w:rFonts w:ascii="方正书宋_GBK" w:eastAsia="方正书宋_GBK" w:hAnsi="Calibri" w:cs="黑体"/>
                <w:b/>
              </w:rPr>
              <w:lastRenderedPageBreak/>
              <w:t>1</w:t>
            </w:r>
            <w:r>
              <w:rPr>
                <w:rFonts w:ascii="方正书宋_GBK" w:eastAsia="方正书宋_GBK" w:hAnsi="Calibri" w:cs="黑体" w:hint="eastAsia"/>
                <w:b/>
              </w:rPr>
              <w:t>、编制规划</w:t>
            </w:r>
          </w:p>
        </w:tc>
        <w:tc>
          <w:tcPr>
            <w:tcW w:w="1276" w:type="dxa"/>
            <w:vAlign w:val="center"/>
          </w:tcPr>
          <w:p w:rsidR="00F001C5" w:rsidRDefault="00F001C5">
            <w:pPr>
              <w:spacing w:line="300" w:lineRule="exact"/>
              <w:jc w:val="left"/>
              <w:rPr>
                <w:rFonts w:ascii="方正书宋_GBK" w:hAnsi="Calibri" w:cs="黑体"/>
              </w:rPr>
            </w:pP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完成年度规划编制工作</w:t>
            </w: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完成规划编制，健全规划体系</w:t>
            </w:r>
          </w:p>
        </w:tc>
        <w:tc>
          <w:tcPr>
            <w:tcW w:w="1417"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城乡规划编制进展情况</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完成报审稿</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基本完成本级规划编制工作</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完成初稿</w:t>
            </w:r>
          </w:p>
        </w:tc>
        <w:tc>
          <w:tcPr>
            <w:tcW w:w="737" w:type="dxa"/>
            <w:vAlign w:val="center"/>
          </w:tcPr>
          <w:p w:rsidR="00F001C5" w:rsidRDefault="004E28DA">
            <w:pPr>
              <w:spacing w:line="300" w:lineRule="exact"/>
              <w:jc w:val="center"/>
              <w:rPr>
                <w:rFonts w:ascii="方正书宋_GBK" w:eastAsia="方正书宋_GBK" w:hAnsi="Calibri" w:cs="黑体"/>
              </w:rPr>
            </w:pPr>
            <w:r>
              <w:rPr>
                <w:rFonts w:ascii="方正书宋_GBK" w:eastAsia="方正书宋_GBK" w:hAnsi="Calibri" w:cs="黑体" w:hint="eastAsia"/>
              </w:rPr>
              <w:t>未开展</w:t>
            </w:r>
          </w:p>
        </w:tc>
      </w:tr>
      <w:tr w:rsidR="00F001C5">
        <w:trPr>
          <w:trHeight w:val="227"/>
          <w:jc w:val="center"/>
        </w:trPr>
        <w:tc>
          <w:tcPr>
            <w:tcW w:w="2341" w:type="dxa"/>
            <w:vAlign w:val="center"/>
          </w:tcPr>
          <w:p w:rsidR="00F001C5" w:rsidRDefault="004E28DA">
            <w:pPr>
              <w:spacing w:line="300" w:lineRule="exact"/>
              <w:jc w:val="left"/>
              <w:rPr>
                <w:rFonts w:ascii="方正书宋_GBK" w:eastAsia="方正书宋_GBK" w:hAnsi="Calibri" w:cs="黑体"/>
                <w:b/>
              </w:rPr>
            </w:pPr>
            <w:r>
              <w:rPr>
                <w:rFonts w:ascii="方正书宋_GBK" w:eastAsia="方正书宋_GBK" w:hAnsi="Calibri" w:cs="黑体" w:hint="eastAsia"/>
                <w:b/>
              </w:rPr>
              <w:t>七、城乡规划</w:t>
            </w:r>
          </w:p>
        </w:tc>
        <w:tc>
          <w:tcPr>
            <w:tcW w:w="1276" w:type="dxa"/>
            <w:vAlign w:val="center"/>
          </w:tcPr>
          <w:p w:rsidR="00F001C5" w:rsidRDefault="00F001C5">
            <w:pPr>
              <w:spacing w:line="300" w:lineRule="exact"/>
              <w:jc w:val="left"/>
              <w:rPr>
                <w:rFonts w:ascii="方正书宋_GBK" w:eastAsia="方正书宋_GBK" w:hAnsi="Calibri" w:cs="黑体"/>
              </w:rPr>
            </w:pP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负责规划综合业务管理</w:t>
            </w:r>
          </w:p>
        </w:tc>
        <w:tc>
          <w:tcPr>
            <w:tcW w:w="2976" w:type="dxa"/>
            <w:vAlign w:val="center"/>
          </w:tcPr>
          <w:p w:rsidR="00F001C5" w:rsidRDefault="004E28DA">
            <w:pPr>
              <w:spacing w:line="300" w:lineRule="exact"/>
              <w:jc w:val="left"/>
              <w:rPr>
                <w:rFonts w:ascii="方正书宋_GBK" w:eastAsia="方正书宋_GBK" w:hAnsi="Calibri" w:cs="黑体"/>
              </w:rPr>
            </w:pPr>
            <w:r>
              <w:rPr>
                <w:rFonts w:ascii="方正书宋_GBK" w:eastAsia="方正书宋_GBK" w:hAnsi="Calibri" w:cs="黑体" w:hint="eastAsia"/>
              </w:rPr>
              <w:t>加强全区乡规划人才队伍建设，提高人才业务素质，提高行业水平。提升机关及行业信息化水平，保障各类业务系统安全稳定运行；加大信息宣传力度，创造良好舆论氛围。规范审批行为，推进政务公开，增加服务意识，提高工作效率。</w:t>
            </w:r>
          </w:p>
        </w:tc>
        <w:tc>
          <w:tcPr>
            <w:tcW w:w="1417" w:type="dxa"/>
            <w:vAlign w:val="center"/>
          </w:tcPr>
          <w:p w:rsidR="00F001C5" w:rsidRDefault="00F001C5">
            <w:pPr>
              <w:spacing w:line="300" w:lineRule="exact"/>
              <w:jc w:val="left"/>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c>
          <w:tcPr>
            <w:tcW w:w="737" w:type="dxa"/>
            <w:vAlign w:val="center"/>
          </w:tcPr>
          <w:p w:rsidR="00F001C5" w:rsidRDefault="00F001C5">
            <w:pPr>
              <w:spacing w:line="300" w:lineRule="exact"/>
              <w:jc w:val="center"/>
              <w:rPr>
                <w:rFonts w:ascii="方正书宋_GBK" w:eastAsia="方正书宋_GBK" w:hAnsi="Calibri" w:cs="黑体"/>
              </w:rPr>
            </w:pP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t>八、人防建设</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w:t>
            </w:r>
            <w:r>
              <w:rPr>
                <w:rFonts w:ascii="仿宋" w:eastAsia="仿宋" w:hAnsi="仿宋" w:cs="仿宋" w:hint="eastAsia"/>
                <w:szCs w:val="21"/>
              </w:rPr>
              <w:lastRenderedPageBreak/>
              <w:t>修建防空地下室的工作</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lastRenderedPageBreak/>
              <w:t>加强人防建设，实现在城市地下空间的开发和利用中监督落实人民防空要求的工作</w:t>
            </w: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建筑工程施工现场达标率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&lt;86%</w:t>
            </w: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lastRenderedPageBreak/>
              <w:t>1.人防建设与发展</w:t>
            </w:r>
          </w:p>
        </w:tc>
        <w:tc>
          <w:tcPr>
            <w:tcW w:w="12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8</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组织管理人民防空工程建设，开展人民防空宣传教育工作，依法收缴社会负担的人防建设费用，编制人民防空经费预决算</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修建防空地下室的工作；监管人民防空工程维护管理和平时开发利用；在城市地下空间的开发和利用中监督落实人民防空要求的工作</w:t>
            </w:r>
          </w:p>
        </w:tc>
        <w:tc>
          <w:tcPr>
            <w:tcW w:w="1417" w:type="dxa"/>
            <w:vAlign w:val="center"/>
          </w:tcPr>
          <w:p w:rsidR="00F001C5" w:rsidRDefault="00F001C5">
            <w:pPr>
              <w:spacing w:line="560" w:lineRule="atLeast"/>
              <w:jc w:val="left"/>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t>九、建筑业、房地产市场监管</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规范建筑市场、工程造价管理及建筑工程招投标管理，落实工程建设、建筑业行业发展政</w:t>
            </w:r>
            <w:r>
              <w:rPr>
                <w:rFonts w:ascii="仿宋" w:eastAsia="仿宋" w:hAnsi="仿宋" w:cs="仿宋" w:hint="eastAsia"/>
                <w:szCs w:val="21"/>
              </w:rPr>
              <w:lastRenderedPageBreak/>
              <w:t>策、规章制度;落实房地产市场监管、房地产开发、房屋租赁、物业管理的规章制度。</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规范建筑市场各方主体行为，促进建筑市场健康发展。提高建筑工程质量，减少建筑安全</w:t>
            </w:r>
            <w:r>
              <w:rPr>
                <w:rFonts w:ascii="仿宋" w:eastAsia="仿宋" w:hAnsi="仿宋" w:cs="仿宋" w:hint="eastAsia"/>
                <w:szCs w:val="21"/>
              </w:rPr>
              <w:lastRenderedPageBreak/>
              <w:t>生产事故，提高行业水平。加强市场监测，促进全区房地产市场持续健康发展。</w:t>
            </w:r>
          </w:p>
        </w:tc>
        <w:tc>
          <w:tcPr>
            <w:tcW w:w="1417" w:type="dxa"/>
            <w:vAlign w:val="center"/>
          </w:tcPr>
          <w:p w:rsidR="00F001C5" w:rsidRDefault="00F001C5">
            <w:pPr>
              <w:spacing w:line="560" w:lineRule="atLeast"/>
              <w:jc w:val="left"/>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lastRenderedPageBreak/>
              <w:t>1.市政公用设施建设与管理</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负责市政公用事业建设、市政公用设施安全监察；</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市政公用事业建设、市政公用设施安全监察</w:t>
            </w:r>
          </w:p>
        </w:tc>
        <w:tc>
          <w:tcPr>
            <w:tcW w:w="1417"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市政公用事业基础设施建设及维护工作目标完成率</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F001C5" w:rsidRDefault="004E28DA">
            <w:pPr>
              <w:spacing w:line="560" w:lineRule="atLeast"/>
              <w:jc w:val="center"/>
              <w:rPr>
                <w:rFonts w:ascii="仿宋" w:eastAsia="仿宋" w:hAnsi="仿宋" w:cs="仿宋"/>
                <w:szCs w:val="21"/>
              </w:rPr>
            </w:pPr>
            <w:r>
              <w:rPr>
                <w:rFonts w:ascii="仿宋" w:eastAsia="仿宋" w:hAnsi="仿宋" w:cs="仿宋" w:hint="eastAsia"/>
                <w:szCs w:val="21"/>
              </w:rPr>
              <w:t>&lt;90%</w:t>
            </w: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方正书宋_GBK" w:eastAsia="方正书宋_GBK" w:hint="eastAsia"/>
                <w:b/>
              </w:rPr>
              <w:t>2.对本行政区域内建设工程安全生产实施监督管理</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rPr>
                <w:rFonts w:ascii="仿宋" w:eastAsia="仿宋" w:hAnsi="仿宋" w:cs="仿宋"/>
                <w:szCs w:val="21"/>
              </w:rPr>
            </w:pPr>
            <w:r>
              <w:rPr>
                <w:rFonts w:ascii="仿宋" w:eastAsia="仿宋" w:hAnsi="仿宋" w:cs="仿宋" w:hint="eastAsia"/>
                <w:szCs w:val="21"/>
              </w:rPr>
              <w:t>负责新建、扩建、改建房屋建筑工程办理安全监督备案手续；负责全市房屋建设工程建筑起重机械设备的注册备案</w:t>
            </w:r>
          </w:p>
          <w:p w:rsidR="00F001C5" w:rsidRDefault="004E28DA">
            <w:pPr>
              <w:rPr>
                <w:rFonts w:ascii="仿宋" w:eastAsia="仿宋" w:hAnsi="仿宋" w:cs="仿宋"/>
                <w:szCs w:val="21"/>
              </w:rPr>
            </w:pPr>
            <w:r>
              <w:rPr>
                <w:rFonts w:ascii="仿宋" w:eastAsia="仿宋" w:hAnsi="仿宋" w:cs="仿宋" w:hint="eastAsia"/>
                <w:szCs w:val="21"/>
              </w:rPr>
              <w:t>房屋建设工程建筑起重机械设备使用登记；对建筑施工过程中存在的安全生产违法、违规行为进行监督整改，并依法进行相应行政处罚；负责新建房</w:t>
            </w:r>
            <w:r>
              <w:rPr>
                <w:rFonts w:ascii="仿宋" w:eastAsia="仿宋" w:hAnsi="仿宋" w:cs="仿宋" w:hint="eastAsia"/>
                <w:szCs w:val="21"/>
              </w:rPr>
              <w:lastRenderedPageBreak/>
              <w:t>屋建筑施工工地扬尘防治工作的监管。落实工程建设、建筑业行业发展政策、规章制度;</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规范建筑市场各方主体行为，促进建筑市场健康发展。减少建筑安全生产事故，提高行业水平。</w:t>
            </w:r>
          </w:p>
        </w:tc>
        <w:tc>
          <w:tcPr>
            <w:tcW w:w="1417" w:type="dxa"/>
            <w:vAlign w:val="center"/>
          </w:tcPr>
          <w:p w:rsidR="00F001C5" w:rsidRDefault="00F001C5">
            <w:pPr>
              <w:spacing w:line="560" w:lineRule="atLeast"/>
              <w:jc w:val="left"/>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r>
      <w:tr w:rsidR="00F001C5">
        <w:trPr>
          <w:trHeight w:val="227"/>
          <w:jc w:val="center"/>
        </w:trPr>
        <w:tc>
          <w:tcPr>
            <w:tcW w:w="2341" w:type="dxa"/>
            <w:vAlign w:val="center"/>
          </w:tcPr>
          <w:p w:rsidR="00F001C5" w:rsidRDefault="004E28DA">
            <w:pPr>
              <w:spacing w:line="560" w:lineRule="atLeast"/>
              <w:jc w:val="left"/>
              <w:rPr>
                <w:rFonts w:ascii="仿宋" w:eastAsia="仿宋" w:hAnsi="仿宋" w:cs="仿宋"/>
                <w:b/>
                <w:szCs w:val="21"/>
              </w:rPr>
            </w:pPr>
            <w:r>
              <w:rPr>
                <w:rFonts w:ascii="仿宋" w:eastAsia="仿宋" w:hAnsi="仿宋" w:cs="仿宋" w:hint="eastAsia"/>
                <w:b/>
                <w:szCs w:val="21"/>
              </w:rPr>
              <w:lastRenderedPageBreak/>
              <w:t>十、城乡建设管理</w:t>
            </w:r>
          </w:p>
        </w:tc>
        <w:tc>
          <w:tcPr>
            <w:tcW w:w="1276" w:type="dxa"/>
            <w:vAlign w:val="center"/>
          </w:tcPr>
          <w:p w:rsidR="00F001C5" w:rsidRDefault="00F001C5">
            <w:pPr>
              <w:spacing w:line="560" w:lineRule="atLeast"/>
              <w:jc w:val="left"/>
              <w:rPr>
                <w:rFonts w:ascii="仿宋" w:eastAsia="仿宋" w:hAnsi="仿宋" w:cs="仿宋"/>
                <w:szCs w:val="21"/>
              </w:rPr>
            </w:pP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负责农村住房建设、住房安全和危房改造、农村垃圾整治监督管理</w:t>
            </w:r>
          </w:p>
        </w:tc>
        <w:tc>
          <w:tcPr>
            <w:tcW w:w="2976" w:type="dxa"/>
            <w:vAlign w:val="center"/>
          </w:tcPr>
          <w:p w:rsidR="00F001C5" w:rsidRDefault="004E28DA">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F001C5" w:rsidRDefault="00F001C5">
            <w:pPr>
              <w:spacing w:line="560" w:lineRule="atLeast"/>
              <w:jc w:val="left"/>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c>
          <w:tcPr>
            <w:tcW w:w="737" w:type="dxa"/>
            <w:vAlign w:val="center"/>
          </w:tcPr>
          <w:p w:rsidR="00F001C5" w:rsidRDefault="00F001C5">
            <w:pPr>
              <w:spacing w:line="560" w:lineRule="atLeast"/>
              <w:jc w:val="center"/>
              <w:rPr>
                <w:rFonts w:ascii="仿宋" w:eastAsia="仿宋" w:hAnsi="仿宋" w:cs="仿宋"/>
                <w:szCs w:val="21"/>
              </w:rPr>
            </w:pPr>
          </w:p>
        </w:tc>
      </w:tr>
    </w:tbl>
    <w:p w:rsidR="00F001C5" w:rsidRDefault="00F001C5">
      <w:pPr>
        <w:pStyle w:val="a6"/>
        <w:shd w:val="clear" w:color="auto" w:fill="FFFFFF"/>
        <w:spacing w:before="0" w:beforeAutospacing="0" w:after="0" w:afterAutospacing="0" w:line="293" w:lineRule="atLeast"/>
        <w:rPr>
          <w:rFonts w:ascii="Tahoma" w:hAnsi="Tahoma" w:cs="Tahoma"/>
          <w:color w:val="333333"/>
          <w:sz w:val="20"/>
          <w:szCs w:val="20"/>
        </w:rPr>
      </w:pP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六、政府采购预算情况</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无政府采购预算情况。</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七、国有资产信息情况</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我局自建局以来，总计形成固定资产总额</w:t>
      </w:r>
      <w:r>
        <w:rPr>
          <w:rFonts w:cs="Tahoma" w:hint="eastAsia"/>
          <w:color w:val="333333"/>
          <w:sz w:val="32"/>
          <w:szCs w:val="32"/>
        </w:rPr>
        <w:t>1153.74</w:t>
      </w:r>
      <w:r>
        <w:rPr>
          <w:rFonts w:cs="Tahoma"/>
          <w:color w:val="333333"/>
          <w:sz w:val="32"/>
          <w:szCs w:val="32"/>
        </w:rPr>
        <w:t>万元；其中房屋及建筑物</w:t>
      </w:r>
      <w:r>
        <w:rPr>
          <w:rFonts w:cs="Tahoma" w:hint="eastAsia"/>
          <w:color w:val="333333"/>
          <w:sz w:val="32"/>
          <w:szCs w:val="32"/>
        </w:rPr>
        <w:t>1033.6</w:t>
      </w:r>
      <w:r>
        <w:rPr>
          <w:rFonts w:cs="Tahoma"/>
          <w:color w:val="333333"/>
          <w:sz w:val="32"/>
          <w:szCs w:val="32"/>
        </w:rPr>
        <w:t>万元；运输设备</w:t>
      </w:r>
      <w:r>
        <w:rPr>
          <w:rFonts w:cs="Tahoma" w:hint="eastAsia"/>
          <w:color w:val="333333"/>
          <w:sz w:val="32"/>
          <w:szCs w:val="32"/>
        </w:rPr>
        <w:t>67.66</w:t>
      </w:r>
      <w:r>
        <w:rPr>
          <w:rFonts w:cs="Tahoma"/>
          <w:color w:val="333333"/>
          <w:sz w:val="32"/>
          <w:szCs w:val="32"/>
        </w:rPr>
        <w:t>万元；通用设备</w:t>
      </w:r>
      <w:r>
        <w:rPr>
          <w:rFonts w:cs="Tahoma" w:hint="eastAsia"/>
          <w:color w:val="333333"/>
          <w:sz w:val="32"/>
          <w:szCs w:val="32"/>
        </w:rPr>
        <w:t>33.40</w:t>
      </w:r>
      <w:r>
        <w:rPr>
          <w:rFonts w:cs="Tahoma"/>
          <w:color w:val="333333"/>
          <w:sz w:val="32"/>
          <w:szCs w:val="32"/>
        </w:rPr>
        <w:t>万元</w:t>
      </w:r>
      <w:r>
        <w:rPr>
          <w:rFonts w:cs="Tahoma" w:hint="eastAsia"/>
          <w:color w:val="333333"/>
          <w:sz w:val="32"/>
          <w:szCs w:val="32"/>
        </w:rPr>
        <w:t>；专用设备17.98</w:t>
      </w:r>
      <w:r w:rsidR="00D33346">
        <w:rPr>
          <w:rFonts w:cs="Tahoma" w:hint="eastAsia"/>
          <w:color w:val="333333"/>
          <w:sz w:val="32"/>
          <w:szCs w:val="32"/>
        </w:rPr>
        <w:t>万元</w:t>
      </w:r>
      <w:r>
        <w:rPr>
          <w:rFonts w:cs="Tahoma"/>
          <w:color w:val="333333"/>
          <w:sz w:val="32"/>
          <w:szCs w:val="32"/>
        </w:rPr>
        <w:t>；家具、用具、装具及动植物1.1万元</w:t>
      </w:r>
      <w:r>
        <w:rPr>
          <w:rFonts w:cs="Tahoma" w:hint="eastAsia"/>
          <w:color w:val="333333"/>
          <w:sz w:val="32"/>
          <w:szCs w:val="32"/>
        </w:rPr>
        <w:t>。</w:t>
      </w:r>
      <w:r>
        <w:rPr>
          <w:rFonts w:cs="Times New Roman" w:hint="eastAsia"/>
          <w:bCs/>
          <w:sz w:val="32"/>
          <w:szCs w:val="32"/>
        </w:rPr>
        <w:t>本年度拟不购置国有资产。</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八、专业名词解释</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color w:val="333333"/>
          <w:sz w:val="32"/>
          <w:szCs w:val="32"/>
        </w:rPr>
        <w:lastRenderedPageBreak/>
        <w:t>1、一般</w:t>
      </w:r>
      <w:r>
        <w:rPr>
          <w:rFonts w:cs="Tahoma" w:hint="eastAsia"/>
          <w:color w:val="333333"/>
          <w:sz w:val="32"/>
          <w:szCs w:val="32"/>
        </w:rPr>
        <w:t>公</w:t>
      </w:r>
      <w:r>
        <w:rPr>
          <w:rFonts w:cs="Tahoma"/>
          <w:color w:val="333333"/>
          <w:sz w:val="32"/>
          <w:szCs w:val="32"/>
        </w:rPr>
        <w:t xml:space="preserve">共预算拨款收入：指省级财政当年拨付的资金。 </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2</w:t>
      </w:r>
      <w:r>
        <w:rPr>
          <w:rFonts w:cs="Tahoma"/>
          <w:color w:val="333333"/>
          <w:sz w:val="32"/>
          <w:szCs w:val="32"/>
        </w:rPr>
        <w:t xml:space="preserve">、其他收入：指除上述“财政拨款收入”、“事业收入”等以外的收入。主要是按规定动用的租房 收入、存款利息收入、中国清洁发展基金拨入的管理费等。 </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3</w:t>
      </w:r>
      <w:r>
        <w:rPr>
          <w:rFonts w:cs="Tahoma"/>
          <w:color w:val="333333"/>
          <w:sz w:val="32"/>
          <w:szCs w:val="32"/>
        </w:rPr>
        <w:t>、基本支出：指为保障机构正常运转、完成日常工作任务而发生的人员支出和公用支出。</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4</w:t>
      </w:r>
      <w:r>
        <w:rPr>
          <w:rFonts w:cs="Tahoma"/>
          <w:color w:val="333333"/>
          <w:sz w:val="32"/>
          <w:szCs w:val="32"/>
        </w:rPr>
        <w:t xml:space="preserve">、项目支出：指在基本支出之外为完成特定行政任务和事业发展目标所发生的支出。 </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5</w:t>
      </w:r>
      <w:r>
        <w:rPr>
          <w:rFonts w:cs="Tahoma"/>
          <w:color w:val="333333"/>
          <w:sz w:val="32"/>
          <w:szCs w:val="32"/>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F001C5" w:rsidRDefault="004E28DA">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6</w:t>
      </w:r>
      <w:r>
        <w:rPr>
          <w:rFonts w:cs="Tahoma"/>
          <w:color w:val="333333"/>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F001C5" w:rsidRDefault="00F001C5">
      <w:pPr>
        <w:pStyle w:val="a6"/>
        <w:shd w:val="clear" w:color="auto" w:fill="FFFFFF"/>
        <w:spacing w:before="0" w:beforeAutospacing="0" w:after="0" w:afterAutospacing="0" w:line="570" w:lineRule="exact"/>
        <w:ind w:firstLineChars="200" w:firstLine="640"/>
        <w:rPr>
          <w:rFonts w:cs="Tahoma"/>
          <w:color w:val="333333"/>
          <w:sz w:val="32"/>
          <w:szCs w:val="32"/>
        </w:rPr>
      </w:pP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九、其他需说明的事项</w:t>
      </w:r>
    </w:p>
    <w:p w:rsidR="00F001C5" w:rsidRDefault="004E28DA">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无其他需说明的事项。</w:t>
      </w:r>
    </w:p>
    <w:p w:rsidR="00F001C5" w:rsidRDefault="00F001C5"/>
    <w:sectPr w:rsidR="00F001C5" w:rsidSect="00F001C5">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DA" w:rsidRDefault="003856DA" w:rsidP="00F001C5">
      <w:r>
        <w:separator/>
      </w:r>
    </w:p>
  </w:endnote>
  <w:endnote w:type="continuationSeparator" w:id="1">
    <w:p w:rsidR="003856DA" w:rsidRDefault="003856DA" w:rsidP="00F00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auto"/>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DA" w:rsidRDefault="003856DA" w:rsidP="00F001C5">
      <w:r>
        <w:separator/>
      </w:r>
    </w:p>
  </w:footnote>
  <w:footnote w:type="continuationSeparator" w:id="1">
    <w:p w:rsidR="003856DA" w:rsidRDefault="003856DA" w:rsidP="00F00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C5" w:rsidRDefault="00F001C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758"/>
    <w:rsid w:val="0003670A"/>
    <w:rsid w:val="001C04F0"/>
    <w:rsid w:val="00280DC1"/>
    <w:rsid w:val="0030402E"/>
    <w:rsid w:val="003856DA"/>
    <w:rsid w:val="003F6C10"/>
    <w:rsid w:val="00423BE4"/>
    <w:rsid w:val="004837FA"/>
    <w:rsid w:val="004E28DA"/>
    <w:rsid w:val="00511287"/>
    <w:rsid w:val="00536FC7"/>
    <w:rsid w:val="00615E4C"/>
    <w:rsid w:val="006B1A7D"/>
    <w:rsid w:val="00853453"/>
    <w:rsid w:val="00857989"/>
    <w:rsid w:val="00860138"/>
    <w:rsid w:val="00943A67"/>
    <w:rsid w:val="009452D3"/>
    <w:rsid w:val="009A4F60"/>
    <w:rsid w:val="00A44373"/>
    <w:rsid w:val="00A91A4C"/>
    <w:rsid w:val="00A928FD"/>
    <w:rsid w:val="00AC1C44"/>
    <w:rsid w:val="00B01FE8"/>
    <w:rsid w:val="00B36582"/>
    <w:rsid w:val="00B827BB"/>
    <w:rsid w:val="00C82B6D"/>
    <w:rsid w:val="00D33346"/>
    <w:rsid w:val="00D95D1C"/>
    <w:rsid w:val="00DE252C"/>
    <w:rsid w:val="00E166BA"/>
    <w:rsid w:val="00E32572"/>
    <w:rsid w:val="00E74758"/>
    <w:rsid w:val="00F001C5"/>
    <w:rsid w:val="00F349BE"/>
    <w:rsid w:val="03A021D6"/>
    <w:rsid w:val="05E0535C"/>
    <w:rsid w:val="0800448C"/>
    <w:rsid w:val="116146EE"/>
    <w:rsid w:val="24863464"/>
    <w:rsid w:val="248B1A45"/>
    <w:rsid w:val="25D741D1"/>
    <w:rsid w:val="262A1DAD"/>
    <w:rsid w:val="289E1C9B"/>
    <w:rsid w:val="2D586C8A"/>
    <w:rsid w:val="2E120CB4"/>
    <w:rsid w:val="338A5C0D"/>
    <w:rsid w:val="36B30566"/>
    <w:rsid w:val="38E666C1"/>
    <w:rsid w:val="3D436866"/>
    <w:rsid w:val="405808C1"/>
    <w:rsid w:val="55B305F9"/>
    <w:rsid w:val="5A1232BD"/>
    <w:rsid w:val="5A644F5B"/>
    <w:rsid w:val="5DBA1FC4"/>
    <w:rsid w:val="62896B17"/>
    <w:rsid w:val="6D171397"/>
    <w:rsid w:val="72FC666F"/>
    <w:rsid w:val="753E0DA3"/>
    <w:rsid w:val="776777E7"/>
    <w:rsid w:val="78A752D3"/>
    <w:rsid w:val="7A5356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001C5"/>
    <w:rPr>
      <w:rFonts w:ascii="宋体" w:eastAsia="宋体"/>
      <w:sz w:val="18"/>
      <w:szCs w:val="18"/>
    </w:rPr>
  </w:style>
  <w:style w:type="paragraph" w:styleId="a4">
    <w:name w:val="footer"/>
    <w:basedOn w:val="a"/>
    <w:link w:val="Char0"/>
    <w:uiPriority w:val="99"/>
    <w:semiHidden/>
    <w:unhideWhenUsed/>
    <w:qFormat/>
    <w:rsid w:val="00F001C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001C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001C5"/>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F001C5"/>
    <w:rPr>
      <w:b/>
      <w:bCs/>
    </w:rPr>
  </w:style>
  <w:style w:type="character" w:customStyle="1" w:styleId="apple-converted-space">
    <w:name w:val="apple-converted-space"/>
    <w:basedOn w:val="a0"/>
    <w:qFormat/>
    <w:rsid w:val="00F001C5"/>
  </w:style>
  <w:style w:type="character" w:customStyle="1" w:styleId="Char1">
    <w:name w:val="页眉 Char"/>
    <w:basedOn w:val="a0"/>
    <w:link w:val="a5"/>
    <w:uiPriority w:val="99"/>
    <w:semiHidden/>
    <w:qFormat/>
    <w:rsid w:val="00F001C5"/>
    <w:rPr>
      <w:kern w:val="2"/>
      <w:sz w:val="18"/>
      <w:szCs w:val="18"/>
    </w:rPr>
  </w:style>
  <w:style w:type="character" w:customStyle="1" w:styleId="Char0">
    <w:name w:val="页脚 Char"/>
    <w:basedOn w:val="a0"/>
    <w:link w:val="a4"/>
    <w:uiPriority w:val="99"/>
    <w:semiHidden/>
    <w:qFormat/>
    <w:rsid w:val="00F001C5"/>
    <w:rPr>
      <w:kern w:val="2"/>
      <w:sz w:val="18"/>
      <w:szCs w:val="18"/>
    </w:rPr>
  </w:style>
  <w:style w:type="character" w:customStyle="1" w:styleId="Char">
    <w:name w:val="文档结构图 Char"/>
    <w:basedOn w:val="a0"/>
    <w:link w:val="a3"/>
    <w:uiPriority w:val="99"/>
    <w:semiHidden/>
    <w:qFormat/>
    <w:rsid w:val="00F001C5"/>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653</Words>
  <Characters>3727</Characters>
  <Application>Microsoft Office Word</Application>
  <DocSecurity>0</DocSecurity>
  <Lines>31</Lines>
  <Paragraphs>8</Paragraphs>
  <ScaleCrop>false</ScaleCrop>
  <Company>Microsoft</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2018-06-22T01:34:00Z</dcterms:created>
  <dcterms:modified xsi:type="dcterms:W3CDTF">2019-02-21T01:18:00Z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