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0A" w:rsidRDefault="005106B0">
      <w:pPr>
        <w:sectPr w:rsidR="00780F0A">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rPr>
          <w:rFonts w:ascii="黑体" w:eastAsia="黑体" w:hAnsi="黑体" w:cs="黑体"/>
          <w:noProof/>
          <w:sz w:val="56"/>
          <w:szCs w:val="72"/>
        </w:rPr>
        <w:pict>
          <v:group id="_x0000_s1059" style="position:absolute;left:0;text-align:left;margin-left:-3.75pt;margin-top:9.7pt;width:600.25pt;height:308.5pt;z-index:-251643904"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60"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61"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5106B0" w:rsidRDefault="005106B0" w:rsidP="005106B0">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662FAB">
        <w:pict>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780F0A" w:rsidRDefault="005228AB">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w:t>
                  </w:r>
                  <w:r w:rsidR="003E4852">
                    <w:rPr>
                      <w:rFonts w:ascii="楷体_GB2312" w:eastAsia="楷体_GB2312" w:hAnsi="楷体_GB2312" w:cs="楷体_GB2312" w:hint="eastAsia"/>
                      <w:color w:val="000000" w:themeColor="text1"/>
                      <w:kern w:val="0"/>
                      <w:sz w:val="44"/>
                      <w:szCs w:val="44"/>
                    </w:rPr>
                    <w:t>七</w:t>
                  </w:r>
                  <w:r>
                    <w:rPr>
                      <w:rFonts w:ascii="楷体_GB2312" w:eastAsia="楷体_GB2312" w:hAnsi="楷体_GB2312" w:cs="楷体_GB2312" w:hint="eastAsia"/>
                      <w:color w:val="000000" w:themeColor="text1"/>
                      <w:kern w:val="0"/>
                      <w:sz w:val="44"/>
                      <w:szCs w:val="44"/>
                    </w:rPr>
                    <w:t>月</w:t>
                  </w:r>
                </w:p>
              </w:txbxContent>
            </v:textbox>
          </v:shape>
        </w:pict>
      </w:r>
      <w:r w:rsidR="00662FAB">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fillcolor="white [3212]" stroked="f" strokeweight="1pt">
            <v:stroke joinstyle="miter"/>
          </v:oval>
        </w:pict>
      </w:r>
      <w:r w:rsidR="00662FAB">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780F0A" w:rsidRDefault="005228AB">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rsidR="00662FAB">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rsidR="00662FAB">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rsidR="00662FAB">
        <w:pict>
          <v:group id="_x0000_s1043" style="position:absolute;left:0;text-align:left;margin-left:-2.5pt;margin-top:-3.35pt;width:600.25pt;height:69.6pt;z-index:-251666432"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780F0A" w:rsidRDefault="005228AB">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rsidR="00662FAB">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780F0A" w:rsidRDefault="00780F0A"/>
              </w:txbxContent>
            </v:textbox>
          </v:rect>
        </w:pict>
      </w:r>
    </w:p>
    <w:p w:rsidR="00780F0A" w:rsidRDefault="00780F0A"/>
    <w:p w:rsidR="00780F0A" w:rsidRDefault="00780F0A">
      <w:pPr>
        <w:jc w:val="center"/>
        <w:rPr>
          <w:rFonts w:ascii="黑体" w:eastAsia="黑体" w:hAnsi="黑体" w:cs="黑体"/>
          <w:sz w:val="56"/>
          <w:szCs w:val="72"/>
        </w:rPr>
      </w:pPr>
    </w:p>
    <w:p w:rsidR="00780F0A" w:rsidRDefault="00780F0A">
      <w:pPr>
        <w:jc w:val="center"/>
        <w:rPr>
          <w:rFonts w:ascii="黑体" w:eastAsia="黑体" w:hAnsi="黑体" w:cs="黑体"/>
          <w:sz w:val="56"/>
          <w:szCs w:val="72"/>
        </w:rPr>
      </w:pPr>
    </w:p>
    <w:p w:rsidR="00780F0A" w:rsidRDefault="005228AB">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3E4852" w:rsidRDefault="003E4852" w:rsidP="003E4852">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3E4852" w:rsidRDefault="003E4852" w:rsidP="003E4852">
      <w:pPr>
        <w:rPr>
          <w:rFonts w:ascii="黑体" w:eastAsia="黑体" w:hAnsi="黑体" w:cs="黑体"/>
          <w:sz w:val="56"/>
          <w:szCs w:val="72"/>
        </w:rPr>
      </w:pPr>
    </w:p>
    <w:p w:rsidR="003E4852" w:rsidRDefault="003E4852" w:rsidP="003E4852">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3E4852" w:rsidRDefault="003E4852" w:rsidP="003E4852">
      <w:pPr>
        <w:spacing w:line="360" w:lineRule="auto"/>
        <w:jc w:val="center"/>
        <w:rPr>
          <w:rFonts w:ascii="黑体" w:eastAsia="黑体" w:hAnsi="黑体" w:cs="黑体"/>
          <w:sz w:val="56"/>
          <w:szCs w:val="72"/>
        </w:rPr>
      </w:pPr>
    </w:p>
    <w:p w:rsidR="003E4852" w:rsidRDefault="003E4852" w:rsidP="003E4852">
      <w:pPr>
        <w:spacing w:line="600" w:lineRule="auto"/>
        <w:jc w:val="center"/>
        <w:rPr>
          <w:rFonts w:ascii="黑体" w:eastAsia="黑体" w:hAnsi="黑体" w:cs="黑体"/>
          <w:sz w:val="56"/>
          <w:szCs w:val="72"/>
        </w:rPr>
      </w:pPr>
    </w:p>
    <w:p w:rsidR="003E4852" w:rsidRDefault="003E4852" w:rsidP="003E4852">
      <w:pPr>
        <w:spacing w:line="600" w:lineRule="auto"/>
        <w:jc w:val="center"/>
        <w:rPr>
          <w:rFonts w:ascii="黑体" w:eastAsia="黑体" w:hAnsi="黑体" w:cs="黑体"/>
          <w:sz w:val="56"/>
          <w:szCs w:val="72"/>
        </w:rPr>
      </w:pPr>
    </w:p>
    <w:p w:rsidR="003E4852" w:rsidRDefault="003E4852" w:rsidP="003E4852">
      <w:pPr>
        <w:spacing w:line="600" w:lineRule="auto"/>
        <w:jc w:val="center"/>
        <w:rPr>
          <w:rFonts w:ascii="黑体" w:eastAsia="黑体" w:hAnsi="黑体" w:cs="黑体"/>
          <w:sz w:val="56"/>
          <w:szCs w:val="72"/>
        </w:rPr>
      </w:pPr>
    </w:p>
    <w:p w:rsidR="003E4852" w:rsidRDefault="003E4852" w:rsidP="003E4852">
      <w:pPr>
        <w:spacing w:line="600" w:lineRule="auto"/>
        <w:jc w:val="center"/>
        <w:rPr>
          <w:rFonts w:ascii="黑体" w:eastAsia="黑体" w:hAnsi="黑体" w:cs="黑体"/>
          <w:sz w:val="56"/>
          <w:szCs w:val="72"/>
        </w:rPr>
      </w:pPr>
    </w:p>
    <w:p w:rsidR="003E4852" w:rsidRDefault="003E4852" w:rsidP="003E4852">
      <w:pPr>
        <w:spacing w:line="480" w:lineRule="auto"/>
        <w:jc w:val="center"/>
        <w:rPr>
          <w:rFonts w:ascii="黑体" w:eastAsia="黑体" w:hAnsi="黑体" w:cs="黑体"/>
          <w:sz w:val="56"/>
          <w:szCs w:val="72"/>
        </w:rPr>
      </w:pPr>
    </w:p>
    <w:p w:rsidR="003E4852" w:rsidRDefault="003E4852" w:rsidP="003E4852">
      <w:pPr>
        <w:spacing w:line="480" w:lineRule="auto"/>
        <w:jc w:val="center"/>
        <w:rPr>
          <w:rFonts w:ascii="黑体" w:eastAsia="黑体" w:hAnsi="黑体" w:cs="黑体"/>
          <w:sz w:val="56"/>
          <w:szCs w:val="72"/>
        </w:rPr>
      </w:pPr>
    </w:p>
    <w:p w:rsidR="003E4852" w:rsidRDefault="003E4852" w:rsidP="003E4852">
      <w:pPr>
        <w:spacing w:line="480" w:lineRule="auto"/>
        <w:jc w:val="center"/>
        <w:rPr>
          <w:rFonts w:ascii="黑体" w:eastAsia="黑体" w:hAnsi="黑体" w:cs="黑体"/>
          <w:sz w:val="56"/>
          <w:szCs w:val="72"/>
        </w:rPr>
      </w:pPr>
    </w:p>
    <w:p w:rsidR="003E4852" w:rsidRDefault="003E4852" w:rsidP="003E4852">
      <w:pPr>
        <w:snapToGrid w:val="0"/>
        <w:spacing w:line="480" w:lineRule="auto"/>
        <w:jc w:val="center"/>
        <w:rPr>
          <w:rFonts w:ascii="黑体" w:eastAsia="黑体" w:hAnsi="黑体" w:cs="黑体"/>
          <w:sz w:val="56"/>
          <w:szCs w:val="72"/>
        </w:rPr>
      </w:pPr>
    </w:p>
    <w:p w:rsidR="003E4852" w:rsidRDefault="003E4852" w:rsidP="003E4852">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芦台经济开发区城乡规划建设管理局</w:t>
      </w:r>
    </w:p>
    <w:p w:rsidR="003E4852" w:rsidRDefault="003E4852" w:rsidP="003E4852">
      <w:pPr>
        <w:snapToGrid w:val="0"/>
        <w:jc w:val="center"/>
        <w:rPr>
          <w:rFonts w:ascii="楷体_GB2312" w:eastAsia="楷体_GB2312" w:hAnsi="楷体_GB2312" w:cs="楷体_GB2312"/>
          <w:color w:val="000000" w:themeColor="text1"/>
          <w:kern w:val="0"/>
          <w:sz w:val="44"/>
          <w:szCs w:val="44"/>
        </w:rPr>
        <w:sectPr w:rsidR="003E4852">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二〇二〇年七月</w:t>
      </w:r>
    </w:p>
    <w:p w:rsidR="003E4852" w:rsidRDefault="003E4852" w:rsidP="003E4852">
      <w:pPr>
        <w:widowControl/>
        <w:spacing w:line="600" w:lineRule="exact"/>
        <w:jc w:val="left"/>
        <w:rPr>
          <w:rFonts w:ascii="黑体" w:eastAsia="黑体" w:hAnsi="黑体" w:cs="黑体"/>
          <w:bCs/>
          <w:sz w:val="32"/>
          <w:szCs w:val="32"/>
          <w:highlight w:val="yellow"/>
        </w:rPr>
      </w:pPr>
    </w:p>
    <w:p w:rsidR="003E4852" w:rsidRDefault="003E4852" w:rsidP="003E4852">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3E4852" w:rsidRDefault="003E4852" w:rsidP="003E4852">
      <w:pPr>
        <w:widowControl/>
        <w:spacing w:after="160" w:line="580" w:lineRule="exact"/>
        <w:ind w:firstLineChars="200" w:firstLine="640"/>
        <w:rPr>
          <w:rFonts w:ascii="Times New Roman" w:eastAsia="黑体" w:hAnsi="Times New Roman" w:cs="Times New Roman"/>
          <w:sz w:val="32"/>
          <w:szCs w:val="32"/>
        </w:rPr>
      </w:pPr>
    </w:p>
    <w:p w:rsidR="003E4852" w:rsidRDefault="003E4852" w:rsidP="003E4852">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3E4852" w:rsidRDefault="003E4852" w:rsidP="003E4852">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3E4852" w:rsidRDefault="003E4852" w:rsidP="003E4852">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3E4852" w:rsidRDefault="003E4852" w:rsidP="003E485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3E4852" w:rsidRDefault="003E4852" w:rsidP="003E485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3E4852" w:rsidRDefault="003E4852" w:rsidP="003E485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3E4852" w:rsidRDefault="003E4852" w:rsidP="003E4852">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3E4852" w:rsidRDefault="003E4852" w:rsidP="003E4852">
      <w:pPr>
        <w:widowControl/>
        <w:spacing w:after="160" w:line="580" w:lineRule="exact"/>
        <w:ind w:firstLineChars="200" w:firstLine="640"/>
        <w:rPr>
          <w:rFonts w:ascii="Times New Roman" w:eastAsia="黑体" w:hAnsi="Times New Roman" w:cs="Times New Roman"/>
          <w:sz w:val="32"/>
          <w:szCs w:val="32"/>
        </w:rPr>
      </w:pPr>
    </w:p>
    <w:p w:rsidR="003E4852" w:rsidRDefault="003E4852" w:rsidP="003E4852">
      <w:pPr>
        <w:widowControl/>
        <w:spacing w:after="160" w:line="580" w:lineRule="exact"/>
        <w:ind w:firstLineChars="200" w:firstLine="640"/>
        <w:rPr>
          <w:rFonts w:ascii="Times New Roman" w:eastAsia="黑体" w:hAnsi="Times New Roman" w:cs="Times New Roman"/>
          <w:sz w:val="32"/>
          <w:szCs w:val="32"/>
        </w:rPr>
        <w:sectPr w:rsidR="003E4852">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3E4852" w:rsidRDefault="003E4852" w:rsidP="003E4852">
      <w:pPr>
        <w:widowControl/>
        <w:spacing w:line="580" w:lineRule="exact"/>
        <w:ind w:firstLineChars="200" w:firstLine="640"/>
        <w:rPr>
          <w:rFonts w:eastAsia="黑体"/>
          <w:sz w:val="32"/>
          <w:szCs w:val="32"/>
        </w:rPr>
      </w:pPr>
    </w:p>
    <w:p w:rsidR="003E4852" w:rsidRDefault="003E4852" w:rsidP="003E4852">
      <w:pPr>
        <w:widowControl/>
        <w:spacing w:line="580" w:lineRule="exact"/>
        <w:ind w:firstLineChars="200" w:firstLine="640"/>
        <w:rPr>
          <w:rFonts w:eastAsia="黑体"/>
          <w:sz w:val="32"/>
          <w:szCs w:val="32"/>
        </w:rPr>
      </w:pPr>
    </w:p>
    <w:p w:rsidR="003E4852" w:rsidRDefault="003E4852" w:rsidP="003E4852">
      <w:pPr>
        <w:widowControl/>
        <w:spacing w:line="580" w:lineRule="exact"/>
        <w:ind w:firstLineChars="200" w:firstLine="640"/>
        <w:rPr>
          <w:rFonts w:eastAsia="黑体"/>
          <w:sz w:val="32"/>
          <w:szCs w:val="32"/>
        </w:rPr>
      </w:pPr>
    </w:p>
    <w:p w:rsidR="003E4852" w:rsidRDefault="00662FAB" w:rsidP="003E4852">
      <w:r w:rsidRPr="00662FAB">
        <w:rPr>
          <w:sz w:val="72"/>
        </w:rPr>
        <w:pict>
          <v:shape id="_x0000_s1054" type="#_x0000_t202" style="position:absolute;left:0;text-align:left;margin-left:-85.7pt;margin-top:80.7pt;width:613.65pt;height:263.1pt;z-index:25166848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2" o:title="image1" color2="white [3212]" type="pattern"/>
            <v:stroke joinstyle="round"/>
            <v:textbox>
              <w:txbxContent>
                <w:p w:rsidR="003E4852" w:rsidRDefault="003E4852" w:rsidP="003E4852">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第一部分  </w:t>
                  </w:r>
                  <w:r>
                    <w:rPr>
                      <w:rFonts w:ascii="黑体" w:eastAsia="黑体" w:hAnsi="黑体" w:cs="黑体" w:hint="eastAsia"/>
                      <w:color w:val="000000" w:themeColor="text1"/>
                      <w:sz w:val="96"/>
                      <w:szCs w:val="96"/>
                    </w:rPr>
                    <w:t>部门概况</w:t>
                  </w:r>
                </w:p>
              </w:txbxContent>
            </v:textbox>
          </v:shape>
        </w:pict>
      </w:r>
      <w:r w:rsidR="003E4852">
        <w:br w:type="page"/>
      </w:r>
    </w:p>
    <w:p w:rsidR="003E4852" w:rsidRDefault="003E4852" w:rsidP="003E4852">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3E4852" w:rsidRDefault="003E4852" w:rsidP="003E4852">
      <w:pPr>
        <w:pStyle w:val="a8"/>
        <w:shd w:val="clear" w:color="auto" w:fill="FFFFFF"/>
        <w:spacing w:before="0" w:beforeAutospacing="0" w:after="0" w:afterAutospacing="0" w:line="293" w:lineRule="atLeast"/>
        <w:ind w:firstLineChars="200" w:firstLine="640"/>
        <w:rPr>
          <w:rFonts w:ascii="Tahoma" w:hAnsi="Tahoma" w:cs="Tahoma"/>
          <w:color w:val="333333"/>
          <w:sz w:val="20"/>
          <w:szCs w:val="20"/>
        </w:rPr>
      </w:pPr>
      <w:r>
        <w:rPr>
          <w:rFonts w:cs="Tahoma"/>
          <w:color w:val="333333"/>
          <w:sz w:val="32"/>
          <w:szCs w:val="32"/>
        </w:rPr>
        <w:t>规划建设管理局，按照国家的法律、法规负责全区的规划建设项目，工程质量监督、建筑业管理、房产登记过户、村镇建设。主要职责是：</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7、负责处理区内工程质量和事故，对不合格的工程进行查处。</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lastRenderedPageBreak/>
        <w:t>    9、负责全区房政管理工作，廉租住房和经济适用住房的管理；房产行业和房产交易市场的管理；组织、领导和监督城市房屋拆迁管理；指导、监督物业管理；负责城市危险房屋管理的工作。</w:t>
      </w:r>
    </w:p>
    <w:p w:rsidR="003E4852" w:rsidRDefault="003E4852" w:rsidP="003E4852">
      <w:pPr>
        <w:pStyle w:val="a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rsidR="003E4852" w:rsidRDefault="003E4852" w:rsidP="003E4852">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3E4852" w:rsidRDefault="003E4852" w:rsidP="003E4852">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年度本部门决算汇编范围的独立核算单位（以下简称“单位”）共1个，具体情况如下：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3E4852" w:rsidTr="004E547A">
        <w:trPr>
          <w:trHeight w:val="811"/>
          <w:jc w:val="center"/>
        </w:trPr>
        <w:tc>
          <w:tcPr>
            <w:tcW w:w="985" w:type="dxa"/>
            <w:vAlign w:val="center"/>
          </w:tcPr>
          <w:p w:rsidR="003E4852" w:rsidRDefault="003E4852" w:rsidP="004E547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3E4852" w:rsidRDefault="003E4852" w:rsidP="004E547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3E4852" w:rsidRDefault="003E4852" w:rsidP="004E547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3E4852" w:rsidRDefault="003E4852" w:rsidP="004E547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3E4852" w:rsidTr="004E547A">
        <w:trPr>
          <w:trHeight w:val="596"/>
          <w:jc w:val="center"/>
        </w:trPr>
        <w:tc>
          <w:tcPr>
            <w:tcW w:w="985" w:type="dxa"/>
          </w:tcPr>
          <w:p w:rsidR="003E4852" w:rsidRDefault="003E4852" w:rsidP="004E547A">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vAlign w:val="center"/>
          </w:tcPr>
          <w:p w:rsidR="003E4852" w:rsidRDefault="003E4852" w:rsidP="004E547A">
            <w:pPr>
              <w:spacing w:line="300" w:lineRule="exact"/>
              <w:jc w:val="left"/>
              <w:rPr>
                <w:rFonts w:ascii="宋体" w:hAnsi="宋体" w:cs="宋体"/>
                <w:sz w:val="32"/>
                <w:szCs w:val="32"/>
              </w:rPr>
            </w:pPr>
            <w:r>
              <w:rPr>
                <w:rFonts w:ascii="宋体" w:hAnsi="宋体" w:cs="宋体" w:hint="eastAsia"/>
                <w:sz w:val="32"/>
                <w:szCs w:val="32"/>
              </w:rPr>
              <w:t>芦台经济开发区城乡规划建设管理局</w:t>
            </w:r>
          </w:p>
        </w:tc>
        <w:tc>
          <w:tcPr>
            <w:tcW w:w="2445" w:type="dxa"/>
            <w:vAlign w:val="center"/>
          </w:tcPr>
          <w:p w:rsidR="003E4852" w:rsidRDefault="003E4852" w:rsidP="004E547A">
            <w:pPr>
              <w:spacing w:line="300" w:lineRule="exact"/>
              <w:jc w:val="center"/>
              <w:rPr>
                <w:rFonts w:ascii="宋体" w:hAnsi="宋体" w:cs="宋体"/>
                <w:sz w:val="32"/>
                <w:szCs w:val="32"/>
              </w:rPr>
            </w:pPr>
            <w:r>
              <w:rPr>
                <w:rFonts w:ascii="宋体" w:hAnsi="宋体" w:cs="宋体" w:hint="eastAsia"/>
                <w:sz w:val="32"/>
                <w:szCs w:val="32"/>
              </w:rPr>
              <w:t>行政</w:t>
            </w:r>
          </w:p>
        </w:tc>
        <w:tc>
          <w:tcPr>
            <w:tcW w:w="2665" w:type="dxa"/>
            <w:vAlign w:val="center"/>
          </w:tcPr>
          <w:p w:rsidR="003E4852" w:rsidRDefault="003E4852" w:rsidP="004E547A">
            <w:pPr>
              <w:spacing w:line="300" w:lineRule="exact"/>
              <w:jc w:val="center"/>
              <w:rPr>
                <w:rFonts w:ascii="宋体" w:hAnsi="宋体" w:cs="宋体"/>
                <w:sz w:val="32"/>
                <w:szCs w:val="32"/>
              </w:rPr>
            </w:pPr>
            <w:r>
              <w:rPr>
                <w:rFonts w:ascii="宋体" w:hAnsi="宋体" w:cs="宋体" w:hint="eastAsia"/>
                <w:sz w:val="32"/>
                <w:szCs w:val="32"/>
              </w:rPr>
              <w:t>财政拨款</w:t>
            </w:r>
          </w:p>
        </w:tc>
      </w:tr>
      <w:tr w:rsidR="003E4852" w:rsidTr="004E547A">
        <w:trPr>
          <w:trHeight w:val="596"/>
          <w:jc w:val="center"/>
        </w:trPr>
        <w:tc>
          <w:tcPr>
            <w:tcW w:w="985" w:type="dxa"/>
          </w:tcPr>
          <w:p w:rsidR="003E4852" w:rsidRDefault="003E4852" w:rsidP="004E547A">
            <w:pPr>
              <w:spacing w:line="560" w:lineRule="exact"/>
              <w:jc w:val="center"/>
              <w:rPr>
                <w:rFonts w:ascii="仿宋_GB2312" w:eastAsia="仿宋_GB2312" w:hAnsi="Calibri" w:cs="ArialUnicodeMS"/>
                <w:kern w:val="0"/>
                <w:sz w:val="28"/>
                <w:szCs w:val="28"/>
              </w:rPr>
            </w:pPr>
          </w:p>
        </w:tc>
        <w:tc>
          <w:tcPr>
            <w:tcW w:w="3485" w:type="dxa"/>
            <w:vAlign w:val="center"/>
          </w:tcPr>
          <w:p w:rsidR="003E4852" w:rsidRDefault="003E4852" w:rsidP="004E547A">
            <w:pPr>
              <w:spacing w:line="300" w:lineRule="exact"/>
              <w:jc w:val="left"/>
              <w:rPr>
                <w:rFonts w:ascii="宋体" w:hAnsi="宋体" w:cs="宋体"/>
                <w:sz w:val="32"/>
                <w:szCs w:val="32"/>
              </w:rPr>
            </w:pPr>
          </w:p>
        </w:tc>
        <w:tc>
          <w:tcPr>
            <w:tcW w:w="2445" w:type="dxa"/>
            <w:vAlign w:val="center"/>
          </w:tcPr>
          <w:p w:rsidR="003E4852" w:rsidRDefault="003E4852" w:rsidP="004E547A">
            <w:pPr>
              <w:spacing w:line="300" w:lineRule="exact"/>
              <w:jc w:val="center"/>
              <w:rPr>
                <w:rFonts w:ascii="宋体" w:hAnsi="宋体" w:cs="宋体"/>
                <w:sz w:val="32"/>
                <w:szCs w:val="32"/>
              </w:rPr>
            </w:pPr>
          </w:p>
        </w:tc>
        <w:tc>
          <w:tcPr>
            <w:tcW w:w="2665" w:type="dxa"/>
            <w:vAlign w:val="center"/>
          </w:tcPr>
          <w:p w:rsidR="003E4852" w:rsidRDefault="003E4852" w:rsidP="004E547A">
            <w:pPr>
              <w:spacing w:line="300" w:lineRule="exact"/>
              <w:jc w:val="center"/>
              <w:rPr>
                <w:rFonts w:ascii="宋体" w:hAnsi="宋体" w:cs="宋体"/>
                <w:sz w:val="32"/>
                <w:szCs w:val="32"/>
              </w:rPr>
            </w:pPr>
          </w:p>
        </w:tc>
      </w:tr>
      <w:tr w:rsidR="003E4852" w:rsidTr="004E547A">
        <w:trPr>
          <w:trHeight w:val="596"/>
          <w:jc w:val="center"/>
        </w:trPr>
        <w:tc>
          <w:tcPr>
            <w:tcW w:w="985" w:type="dxa"/>
          </w:tcPr>
          <w:p w:rsidR="003E4852" w:rsidRDefault="003E4852" w:rsidP="004E547A">
            <w:pPr>
              <w:spacing w:line="560" w:lineRule="exact"/>
              <w:jc w:val="center"/>
              <w:rPr>
                <w:rFonts w:ascii="仿宋_GB2312" w:eastAsia="仿宋_GB2312" w:hAnsi="Calibri" w:cs="ArialUnicodeMS"/>
                <w:kern w:val="0"/>
                <w:sz w:val="28"/>
                <w:szCs w:val="28"/>
              </w:rPr>
            </w:pPr>
          </w:p>
        </w:tc>
        <w:tc>
          <w:tcPr>
            <w:tcW w:w="3485" w:type="dxa"/>
            <w:vAlign w:val="center"/>
          </w:tcPr>
          <w:p w:rsidR="003E4852" w:rsidRDefault="003E4852" w:rsidP="004E547A">
            <w:pPr>
              <w:spacing w:line="300" w:lineRule="exact"/>
              <w:jc w:val="left"/>
              <w:rPr>
                <w:rFonts w:ascii="宋体" w:hAnsi="宋体" w:cs="宋体"/>
                <w:sz w:val="32"/>
                <w:szCs w:val="32"/>
              </w:rPr>
            </w:pPr>
          </w:p>
        </w:tc>
        <w:tc>
          <w:tcPr>
            <w:tcW w:w="2445" w:type="dxa"/>
            <w:vAlign w:val="center"/>
          </w:tcPr>
          <w:p w:rsidR="003E4852" w:rsidRDefault="003E4852" w:rsidP="004E547A">
            <w:pPr>
              <w:spacing w:line="300" w:lineRule="exact"/>
              <w:jc w:val="center"/>
              <w:rPr>
                <w:rFonts w:ascii="宋体" w:hAnsi="宋体" w:cs="宋体"/>
                <w:sz w:val="32"/>
                <w:szCs w:val="32"/>
              </w:rPr>
            </w:pPr>
          </w:p>
        </w:tc>
        <w:tc>
          <w:tcPr>
            <w:tcW w:w="2665" w:type="dxa"/>
            <w:vAlign w:val="center"/>
          </w:tcPr>
          <w:p w:rsidR="003E4852" w:rsidRDefault="003E4852" w:rsidP="004E547A">
            <w:pPr>
              <w:spacing w:line="300" w:lineRule="exact"/>
              <w:jc w:val="center"/>
              <w:rPr>
                <w:rFonts w:ascii="宋体" w:hAnsi="宋体" w:cs="宋体"/>
                <w:sz w:val="32"/>
                <w:szCs w:val="32"/>
              </w:rPr>
            </w:pPr>
          </w:p>
        </w:tc>
      </w:tr>
      <w:tr w:rsidR="003E4852" w:rsidTr="004E547A">
        <w:trPr>
          <w:trHeight w:val="606"/>
          <w:jc w:val="center"/>
        </w:trPr>
        <w:tc>
          <w:tcPr>
            <w:tcW w:w="985" w:type="dxa"/>
            <w:tcBorders>
              <w:bottom w:val="single" w:sz="4" w:space="0" w:color="auto"/>
            </w:tcBorders>
          </w:tcPr>
          <w:p w:rsidR="003E4852" w:rsidRDefault="003E4852" w:rsidP="004E547A">
            <w:pPr>
              <w:spacing w:line="560" w:lineRule="exact"/>
              <w:jc w:val="center"/>
              <w:rPr>
                <w:rFonts w:ascii="仿宋_GB2312" w:eastAsia="仿宋_GB2312" w:hAnsi="Calibri" w:cs="ArialUnicodeMS"/>
                <w:kern w:val="0"/>
                <w:sz w:val="28"/>
                <w:szCs w:val="28"/>
              </w:rPr>
            </w:pPr>
          </w:p>
        </w:tc>
        <w:tc>
          <w:tcPr>
            <w:tcW w:w="3485" w:type="dxa"/>
            <w:tcBorders>
              <w:bottom w:val="single" w:sz="4" w:space="0" w:color="auto"/>
            </w:tcBorders>
            <w:vAlign w:val="center"/>
          </w:tcPr>
          <w:p w:rsidR="003E4852" w:rsidRDefault="003E4852" w:rsidP="004E547A">
            <w:pPr>
              <w:spacing w:line="300" w:lineRule="exact"/>
              <w:jc w:val="left"/>
              <w:rPr>
                <w:rFonts w:ascii="宋体" w:hAnsi="宋体" w:cs="宋体"/>
                <w:sz w:val="32"/>
                <w:szCs w:val="32"/>
              </w:rPr>
            </w:pPr>
          </w:p>
        </w:tc>
        <w:tc>
          <w:tcPr>
            <w:tcW w:w="244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c>
          <w:tcPr>
            <w:tcW w:w="266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r>
      <w:tr w:rsidR="003E4852" w:rsidTr="004E547A">
        <w:trPr>
          <w:trHeight w:val="606"/>
          <w:jc w:val="center"/>
        </w:trPr>
        <w:tc>
          <w:tcPr>
            <w:tcW w:w="985" w:type="dxa"/>
            <w:tcBorders>
              <w:bottom w:val="single" w:sz="4" w:space="0" w:color="auto"/>
            </w:tcBorders>
          </w:tcPr>
          <w:p w:rsidR="003E4852" w:rsidRDefault="003E4852" w:rsidP="004E547A">
            <w:pPr>
              <w:spacing w:line="560" w:lineRule="exact"/>
              <w:jc w:val="center"/>
              <w:rPr>
                <w:rFonts w:ascii="仿宋_GB2312" w:eastAsia="仿宋_GB2312" w:hAnsi="Calibri" w:cs="ArialUnicodeMS"/>
                <w:kern w:val="0"/>
                <w:sz w:val="28"/>
                <w:szCs w:val="28"/>
              </w:rPr>
            </w:pPr>
          </w:p>
        </w:tc>
        <w:tc>
          <w:tcPr>
            <w:tcW w:w="3485" w:type="dxa"/>
            <w:tcBorders>
              <w:bottom w:val="single" w:sz="4" w:space="0" w:color="auto"/>
            </w:tcBorders>
            <w:vAlign w:val="center"/>
          </w:tcPr>
          <w:p w:rsidR="003E4852" w:rsidRDefault="003E4852" w:rsidP="004E547A">
            <w:pPr>
              <w:spacing w:line="300" w:lineRule="exact"/>
              <w:jc w:val="left"/>
              <w:rPr>
                <w:rFonts w:ascii="宋体" w:hAnsi="宋体" w:cs="宋体"/>
                <w:sz w:val="32"/>
                <w:szCs w:val="32"/>
              </w:rPr>
            </w:pPr>
          </w:p>
        </w:tc>
        <w:tc>
          <w:tcPr>
            <w:tcW w:w="244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c>
          <w:tcPr>
            <w:tcW w:w="266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r>
      <w:tr w:rsidR="003E4852" w:rsidTr="004E547A">
        <w:trPr>
          <w:trHeight w:val="606"/>
          <w:jc w:val="center"/>
        </w:trPr>
        <w:tc>
          <w:tcPr>
            <w:tcW w:w="985" w:type="dxa"/>
            <w:tcBorders>
              <w:bottom w:val="single" w:sz="4" w:space="0" w:color="auto"/>
            </w:tcBorders>
          </w:tcPr>
          <w:p w:rsidR="003E4852" w:rsidRDefault="003E4852" w:rsidP="004E547A">
            <w:pPr>
              <w:spacing w:line="560" w:lineRule="exact"/>
              <w:jc w:val="center"/>
              <w:rPr>
                <w:rFonts w:ascii="仿宋_GB2312" w:eastAsia="仿宋_GB2312" w:hAnsi="Calibri" w:cs="ArialUnicodeMS"/>
                <w:kern w:val="0"/>
                <w:sz w:val="28"/>
                <w:szCs w:val="28"/>
              </w:rPr>
            </w:pPr>
          </w:p>
        </w:tc>
        <w:tc>
          <w:tcPr>
            <w:tcW w:w="3485" w:type="dxa"/>
            <w:tcBorders>
              <w:bottom w:val="single" w:sz="4" w:space="0" w:color="auto"/>
            </w:tcBorders>
            <w:vAlign w:val="center"/>
          </w:tcPr>
          <w:p w:rsidR="003E4852" w:rsidRDefault="003E4852" w:rsidP="004E547A">
            <w:pPr>
              <w:spacing w:line="300" w:lineRule="exact"/>
              <w:jc w:val="left"/>
              <w:rPr>
                <w:rFonts w:ascii="宋体" w:hAnsi="宋体" w:cs="宋体"/>
                <w:sz w:val="32"/>
                <w:szCs w:val="32"/>
              </w:rPr>
            </w:pPr>
          </w:p>
        </w:tc>
        <w:tc>
          <w:tcPr>
            <w:tcW w:w="244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c>
          <w:tcPr>
            <w:tcW w:w="2665" w:type="dxa"/>
            <w:tcBorders>
              <w:bottom w:val="single" w:sz="4" w:space="0" w:color="auto"/>
            </w:tcBorders>
            <w:vAlign w:val="center"/>
          </w:tcPr>
          <w:p w:rsidR="003E4852" w:rsidRDefault="003E4852" w:rsidP="004E547A">
            <w:pPr>
              <w:spacing w:line="300" w:lineRule="exact"/>
              <w:jc w:val="center"/>
              <w:rPr>
                <w:rFonts w:ascii="宋体" w:hAnsi="宋体" w:cs="宋体"/>
                <w:sz w:val="32"/>
                <w:szCs w:val="32"/>
              </w:rPr>
            </w:pPr>
          </w:p>
        </w:tc>
      </w:tr>
      <w:tr w:rsidR="003E4852" w:rsidTr="004E547A">
        <w:trPr>
          <w:trHeight w:val="606"/>
          <w:jc w:val="center"/>
        </w:trPr>
        <w:tc>
          <w:tcPr>
            <w:tcW w:w="9580" w:type="dxa"/>
            <w:gridSpan w:val="4"/>
            <w:tcBorders>
              <w:top w:val="single" w:sz="4" w:space="0" w:color="auto"/>
              <w:left w:val="nil"/>
              <w:bottom w:val="nil"/>
              <w:right w:val="nil"/>
            </w:tcBorders>
          </w:tcPr>
          <w:p w:rsidR="003E4852" w:rsidRDefault="003E4852" w:rsidP="004E547A">
            <w:pPr>
              <w:spacing w:line="560" w:lineRule="exact"/>
              <w:ind w:firstLineChars="200" w:firstLine="560"/>
              <w:jc w:val="left"/>
              <w:rPr>
                <w:rFonts w:ascii="仿宋_GB2312" w:eastAsia="仿宋_GB2312" w:hAnsi="Calibri" w:cs="ArialUnicodeMS"/>
                <w:kern w:val="0"/>
                <w:sz w:val="28"/>
                <w:szCs w:val="28"/>
              </w:rPr>
            </w:pPr>
          </w:p>
        </w:tc>
      </w:tr>
    </w:tbl>
    <w:p w:rsidR="003E4852" w:rsidRDefault="003E4852" w:rsidP="003E4852">
      <w:pPr>
        <w:widowControl/>
        <w:spacing w:after="160" w:line="580" w:lineRule="exact"/>
        <w:ind w:firstLineChars="200" w:firstLine="640"/>
        <w:rPr>
          <w:rFonts w:ascii="Times New Roman" w:eastAsia="黑体" w:hAnsi="Times New Roman" w:cs="Times New Roman"/>
          <w:sz w:val="32"/>
          <w:szCs w:val="32"/>
        </w:rPr>
      </w:pPr>
    </w:p>
    <w:p w:rsidR="003E4852" w:rsidRDefault="00662FAB" w:rsidP="003E4852">
      <w:pPr>
        <w:widowControl/>
        <w:spacing w:after="160" w:line="580" w:lineRule="exact"/>
        <w:ind w:firstLineChars="200" w:firstLine="1440"/>
        <w:rPr>
          <w:rFonts w:ascii="Times New Roman" w:eastAsia="黑体" w:hAnsi="Times New Roman" w:cs="Times New Roman"/>
          <w:sz w:val="32"/>
          <w:szCs w:val="32"/>
        </w:rPr>
        <w:sectPr w:rsidR="003E4852">
          <w:headerReference w:type="default" r:id="rId23"/>
          <w:footerReference w:type="default" r:id="rId24"/>
          <w:footerReference w:type="first" r:id="rId25"/>
          <w:pgSz w:w="11906" w:h="16838"/>
          <w:pgMar w:top="2041" w:right="1531" w:bottom="2041" w:left="1531" w:header="851" w:footer="992" w:gutter="0"/>
          <w:pgNumType w:fmt="numberInDash"/>
          <w:cols w:space="0"/>
          <w:titlePg/>
          <w:docGrid w:type="lines" w:linePitch="312"/>
        </w:sectPr>
      </w:pPr>
      <w:r w:rsidRPr="00662FAB">
        <w:rPr>
          <w:sz w:val="72"/>
        </w:rPr>
        <w:pict>
          <v:shape id="_x0000_s1055" type="#_x0000_t202" style="position:absolute;left:0;text-align:left;margin-left:-85.7pt;margin-top:238.15pt;width:613.65pt;height:173.25pt;z-index:25166950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3E4852" w:rsidRDefault="003E4852" w:rsidP="003E4852">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3E4852" w:rsidRDefault="003E4852" w:rsidP="003E4852">
                  <w:pPr>
                    <w:widowControl/>
                    <w:jc w:val="center"/>
                    <w:rPr>
                      <w:rFonts w:ascii="黑体" w:eastAsia="黑体" w:hAnsi="黑体" w:cs="黑体"/>
                      <w:color w:val="000000" w:themeColor="text1"/>
                      <w:sz w:val="96"/>
                      <w:szCs w:val="96"/>
                    </w:rPr>
                  </w:pPr>
                </w:p>
              </w:txbxContent>
            </v:textbox>
          </v:shape>
        </w:pict>
      </w:r>
    </w:p>
    <w:p w:rsidR="003E4852" w:rsidRDefault="003E4852" w:rsidP="003E4852">
      <w:pPr>
        <w:widowControl/>
        <w:spacing w:line="580" w:lineRule="exact"/>
        <w:ind w:firstLineChars="200" w:firstLine="640"/>
        <w:rPr>
          <w:rFonts w:eastAsia="黑体"/>
          <w:sz w:val="32"/>
          <w:szCs w:val="3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662FAB" w:rsidP="003E4852">
      <w:pPr>
        <w:jc w:val="center"/>
        <w:rPr>
          <w:rFonts w:ascii="黑体" w:eastAsia="黑体" w:hAnsi="黑体" w:cs="黑体"/>
          <w:sz w:val="56"/>
          <w:szCs w:val="72"/>
        </w:rPr>
      </w:pPr>
      <w:r w:rsidRPr="00662FAB">
        <w:rPr>
          <w:sz w:val="72"/>
        </w:rPr>
        <w:pict>
          <v:shape id="_x0000_s1056" type="#_x0000_t202" style="position:absolute;left:0;text-align:left;margin-left:-90.8pt;margin-top:4.35pt;width:613.65pt;height:263.1pt;z-index:251670528;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2" o:title="image1" color2="white [3212]" type="pattern"/>
            <v:stroke joinstyle="round"/>
            <v:textbox>
              <w:txbxContent>
                <w:p w:rsidR="003E4852" w:rsidRDefault="003E4852" w:rsidP="003E4852">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3E4852" w:rsidRDefault="003E4852" w:rsidP="003E4852">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年部门决算情况说明</w:t>
                  </w:r>
                </w:p>
                <w:p w:rsidR="003E4852" w:rsidRDefault="003E4852" w:rsidP="003E4852"/>
              </w:txbxContent>
            </v:textbox>
          </v:shape>
        </w:pict>
      </w: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w:t>
      </w:r>
      <w:r>
        <w:rPr>
          <w:rFonts w:ascii="仿宋_GB2312" w:eastAsia="仿宋_GB2312" w:cs="DengXian-Regular" w:hint="eastAsia"/>
          <w:sz w:val="32"/>
          <w:szCs w:val="32"/>
        </w:rPr>
        <w:t>（含结转和结余）</w:t>
      </w:r>
      <w:r>
        <w:rPr>
          <w:rFonts w:ascii="仿宋_GB2312" w:eastAsia="仿宋_GB2312" w:hAnsi="Times New Roman" w:cs="DengXian-Regular" w:hint="eastAsia"/>
          <w:sz w:val="32"/>
          <w:szCs w:val="32"/>
        </w:rPr>
        <w:t>3653.26万元。与2018年度决算相比，收支各增加3187.18万元，增长87.24%，主要原因是项目增加。</w:t>
      </w:r>
    </w:p>
    <w:p w:rsidR="003E4852" w:rsidRDefault="003E4852" w:rsidP="003E4852">
      <w:pPr>
        <w:keepNext/>
        <w:keepLines/>
        <w:numPr>
          <w:ilvl w:val="0"/>
          <w:numId w:val="5"/>
        </w:numPr>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 xml:space="preserve">收入决算情况说明 </w:t>
      </w:r>
    </w:p>
    <w:p w:rsidR="003E4852" w:rsidRDefault="003E4852" w:rsidP="003E4852">
      <w:pPr>
        <w:keepNext/>
        <w:keepLines/>
        <w:snapToGrid w:val="0"/>
        <w:spacing w:line="580" w:lineRule="exact"/>
        <w:ind w:firstLineChars="200" w:firstLine="640"/>
        <w:outlineLvl w:val="1"/>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本部门2019年度本年收入合计3653.26万元，其中：财政拨款收入3653.26万元，占0%；事业收入0万元，占0%；经营收入0万元，占0%；其他收入0万元，占0%。</w:t>
      </w:r>
    </w:p>
    <w:p w:rsidR="003E4852" w:rsidRDefault="003E4852" w:rsidP="003E4852">
      <w:pPr>
        <w:keepNext/>
        <w:keepLines/>
        <w:snapToGrid w:val="0"/>
        <w:spacing w:line="580" w:lineRule="exact"/>
        <w:outlineLvl w:val="1"/>
        <w:rPr>
          <w:rFonts w:ascii="黑体" w:eastAsia="黑体" w:hAnsi="Calibri" w:cs="Times New Roman"/>
          <w:b/>
          <w:bCs/>
          <w:sz w:val="32"/>
          <w:szCs w:val="32"/>
        </w:rPr>
      </w:pPr>
    </w:p>
    <w:p w:rsidR="003E4852" w:rsidRDefault="003E4852" w:rsidP="003E48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本部门2019年度本年支出合计1745.8万元，其中：基本支出539.25万元，占30.88%；项目支出1206.55万元，占69.12%；经营支出0万元，占0%。</w:t>
      </w:r>
    </w:p>
    <w:p w:rsidR="003E4852" w:rsidRDefault="003E4852" w:rsidP="003E4852">
      <w:pPr>
        <w:adjustRightInd w:val="0"/>
        <w:snapToGrid w:val="0"/>
        <w:spacing w:line="580" w:lineRule="exact"/>
        <w:ind w:firstLineChars="600" w:firstLine="1920"/>
        <w:rPr>
          <w:rFonts w:ascii="仿宋_GB2312" w:eastAsia="仿宋_GB2312" w:hAnsi="Times New Roman" w:cs="DengXian-Regular"/>
          <w:sz w:val="32"/>
          <w:szCs w:val="32"/>
        </w:rPr>
      </w:pPr>
    </w:p>
    <w:p w:rsidR="003E4852" w:rsidRDefault="003E4852" w:rsidP="003E48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3E4852" w:rsidRDefault="003E4852" w:rsidP="003E4852">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本部门2019年度财政拨款本年收入3653.26万元,比2018年度增加3187.18万元，增长87.24%，主要是人员增加、项目木增加；本年支出3653.26万元，增加3187.18万元，增长87.24%，主要是人员增加、项目木增加。具体情况如下：</w:t>
      </w:r>
    </w:p>
    <w:p w:rsidR="003E4852" w:rsidRDefault="003E4852" w:rsidP="003E4852">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一般公共预算财政拨款本年收入1507.27万元，比上年</w:t>
      </w:r>
      <w:r>
        <w:rPr>
          <w:rFonts w:ascii="仿宋_GB2312" w:eastAsia="仿宋_GB2312" w:hAnsi="Times New Roman" w:cs="DengXian-Regular" w:hint="eastAsia"/>
          <w:sz w:val="32"/>
          <w:szCs w:val="32"/>
        </w:rPr>
        <w:lastRenderedPageBreak/>
        <w:t>增加1041.19万元；主要是人员增加、项目增加；本年支出1507.27万元，比上年增加1041.19万元，增长69.08%，主要是人员增加、项目增加。</w:t>
      </w:r>
    </w:p>
    <w:p w:rsidR="003E4852" w:rsidRDefault="003E4852" w:rsidP="003E4852">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政府性基金预算财政拨款本年收入2145.99万元，比上年增加0万元，增长100%，主要原因是项目增加；本年支出2145.99万元，比上年增加0万元，增长100%，主要原因是项目增加。</w:t>
      </w:r>
    </w:p>
    <w:p w:rsidR="003E4852" w:rsidRDefault="003E4852" w:rsidP="003E4852">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3653.26万元，完成年初预算的100%（如图4）,比年初预算增加2625.07万元，决算数大于预算数主要原因是项目增加；本年支出1745.8万元，完成年初预算的100%,比年初预算增加717.61万元，决算数大于预算数主要原因是主要是项目增加。具体情况如下：</w:t>
      </w:r>
    </w:p>
    <w:p w:rsidR="003E4852" w:rsidRDefault="003E4852" w:rsidP="003E4852">
      <w:pPr>
        <w:numPr>
          <w:ilvl w:val="0"/>
          <w:numId w:val="2"/>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一般公共预算财政拨款本年收入完成年初预算1507.27%，比年初预算增加479.08万元，主要是项目增加；支出完成年初预算100%，比年初预算增加479.08万元，主要是项目增加。</w:t>
      </w:r>
    </w:p>
    <w:p w:rsidR="003E4852" w:rsidRDefault="003E4852" w:rsidP="003E4852">
      <w:pPr>
        <w:numPr>
          <w:ilvl w:val="0"/>
          <w:numId w:val="2"/>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政府性基金预算财政拨款本年收入完成年初预算2145.99，比年初预算增加2145.99万元，主要是本年度为新增；支出完成年初预算100%，比年初预算增加2145.99万元，主要是本年度为新增。</w:t>
      </w:r>
    </w:p>
    <w:p w:rsidR="003E4852" w:rsidRDefault="003E4852" w:rsidP="003E4852">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财政拨款支出决算结构情况。</w:t>
      </w:r>
    </w:p>
    <w:p w:rsidR="003E4852" w:rsidRPr="00C71A40"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1745.8万元，主要用于以下方面卫生健康（类）支出69.74万元，占3.99%；节能环保（类）支出384.7万元，占22.04%；城乡社区（类）支出1214.55万元，占69.57%；农林水（类）支出45.5万元，占2.61%；住房保障（类）支出31.3万元，占1.79%。</w:t>
      </w:r>
    </w:p>
    <w:p w:rsidR="003E4852" w:rsidRDefault="003E4852" w:rsidP="003E4852">
      <w:pPr>
        <w:adjustRightInd w:val="0"/>
        <w:snapToGrid w:val="0"/>
        <w:spacing w:line="580" w:lineRule="exact"/>
        <w:rPr>
          <w:rFonts w:ascii="楷体_GB2312" w:eastAsia="楷体_GB2312" w:hAnsi="Times New Roman" w:cs="DengXian-Bold"/>
          <w:b/>
          <w:bCs/>
          <w:sz w:val="32"/>
          <w:szCs w:val="32"/>
        </w:rPr>
      </w:pPr>
    </w:p>
    <w:p w:rsidR="003E4852" w:rsidRDefault="003E4852" w:rsidP="003E4852">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年度财政拨款基本支出539.25万元，其中：人员经费 453.17万元，主要包括基本工资、津贴补贴、奖金、绩效工资、机关事业单位基本养老保险缴费、职业年金缴费、职工基本医疗保险缴费、公务员医疗补助缴费、住房公积金、医疗费、其他社会保障缴费、其他工资福利支出；公用经费 86.08万元，主要包括办公费、印刷费、水费、电费、邮电费、取暖费、差旅费、维修（护）费、公务接待费、专用材料费、劳务费、工会经费、福利费、办公设备购置。</w:t>
      </w:r>
    </w:p>
    <w:p w:rsidR="003E4852" w:rsidRDefault="003E4852" w:rsidP="003E48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本部门2019年度“三公”经费支出共计0.1万元，完成预算的100%,较预算减少0.2万元，降低10%，主要是厉行节俭，减少支出；较2018年度减少0.1万元，降低10%，主要是厉行节俭，减少支出。具体情况如下：</w:t>
      </w:r>
    </w:p>
    <w:p w:rsidR="003E4852" w:rsidRDefault="003E4852" w:rsidP="003E4852">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lastRenderedPageBreak/>
        <w:t>（一）因公出国（境）费支出0万元。</w:t>
      </w:r>
      <w:r>
        <w:rPr>
          <w:rFonts w:ascii="仿宋_GB2312" w:eastAsia="仿宋_GB2312" w:hAnsi="Times New Roman" w:cs="DengXian-Regular" w:hint="eastAsia"/>
          <w:sz w:val="32"/>
          <w:szCs w:val="32"/>
        </w:rPr>
        <w:t>本部门2019年度因公出国（境）团组0个、共0人/参加其他单位组织的因公出国（境）团组0个、共0人/无本单位组织的出国（境）团组。因公出国（境）费支出较预算增加（减少）0万元，增长（降低）0%,；较上年增加（减少）0万元，增长（降低）0%,主要是本年无支出。</w:t>
      </w:r>
    </w:p>
    <w:p w:rsidR="003E4852" w:rsidRDefault="003E4852" w:rsidP="003E4852">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（二）公务用车购置及运行维护费支出0万元。</w:t>
      </w:r>
      <w:r>
        <w:rPr>
          <w:rFonts w:ascii="仿宋_GB2312" w:eastAsia="仿宋_GB2312" w:hAnsi="Times New Roman" w:cs="DengXian-Regular" w:hint="eastAsia"/>
          <w:sz w:val="32"/>
          <w:szCs w:val="32"/>
        </w:rPr>
        <w:t>本部门2019年度公务用车购置及运行维护费较预算减少0万元，降低0%；较上年减少0万元，降低0%,主要是本年无支出。</w:t>
      </w:r>
      <w:r>
        <w:rPr>
          <w:rFonts w:ascii="仿宋_GB2312" w:eastAsia="仿宋_GB2312" w:hAnsi="Times New Roman" w:cs="DengXian-Bold" w:hint="eastAsia"/>
          <w:b/>
          <w:bCs/>
          <w:sz w:val="32"/>
          <w:szCs w:val="32"/>
        </w:rPr>
        <w:t>其中：</w:t>
      </w:r>
    </w:p>
    <w:p w:rsidR="003E4852" w:rsidRDefault="003E4852" w:rsidP="003E4852">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本部门2019年度公务用车购置量0辆，发生“公务用车购置”经费支出0万元。公务用车购置费支出较预算增加（减少）0万元，增长（降低）0%；较上年增加（减少）0万元，增长（降低）0%,主要是本年无支出。</w:t>
      </w:r>
    </w:p>
    <w:p w:rsidR="003E4852" w:rsidRDefault="003E4852" w:rsidP="003E4852">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本部门2019年度单位公务用车保有量0辆。公车运行维护费支出较预算增加（减少）0万元，增长（降低）0%；较上年增加（减少）0万元，增长（降低）0%，主要是本年无支出。</w:t>
      </w:r>
    </w:p>
    <w:p w:rsidR="003E4852" w:rsidRDefault="003E4852" w:rsidP="003E4852">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（三）公务接待费支出0.1万元。</w:t>
      </w:r>
      <w:r>
        <w:rPr>
          <w:rFonts w:ascii="仿宋_GB2312" w:eastAsia="仿宋_GB2312" w:hAnsi="Times New Roman" w:cs="DengXian-Regular" w:hint="eastAsia"/>
          <w:sz w:val="32"/>
          <w:szCs w:val="32"/>
        </w:rPr>
        <w:t>本部门2019年度公务接待共1批次、10人次。公务接待费支出较预算减少0.2万元，降低10%,主要是厉行节俭，减少支出；较上年度减少0.1万元，降低10%,主要是厉行节俭，减少支出。</w:t>
      </w:r>
    </w:p>
    <w:p w:rsidR="003E4852" w:rsidRDefault="003E4852" w:rsidP="003E4852">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lastRenderedPageBreak/>
        <w:t>六、预算绩效情况说明</w:t>
      </w:r>
    </w:p>
    <w:p w:rsidR="003E4852" w:rsidRDefault="003E4852" w:rsidP="003E4852">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3E4852" w:rsidRDefault="003E4852" w:rsidP="003E485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根据预算绩效管理要求，本部门组织对2019年度一般公共预算项目支出全面开展绩效自评，公用经费支出86.08万元（占一般公共预算支出总额的15.96%）。</w:t>
      </w:r>
    </w:p>
    <w:p w:rsidR="003E4852" w:rsidRDefault="003E4852" w:rsidP="003E4852">
      <w:pPr>
        <w:pStyle w:val="a8"/>
        <w:spacing w:before="0" w:beforeAutospacing="0" w:after="0" w:afterAutospacing="0" w:line="360" w:lineRule="auto"/>
        <w:ind w:firstLineChars="200" w:firstLine="640"/>
        <w:textAlignment w:val="baseline"/>
        <w:rPr>
          <w:rFonts w:ascii="仿宋_GB2312" w:eastAsia="仿宋_GB2312" w:hAnsi="Times New Roman" w:cs="DengXian-Regular"/>
          <w:kern w:val="2"/>
          <w:sz w:val="32"/>
          <w:szCs w:val="32"/>
        </w:rPr>
      </w:pPr>
      <w:r>
        <w:rPr>
          <w:rFonts w:ascii="仿宋_GB2312" w:eastAsia="仿宋_GB2312" w:hAnsi="Times New Roman" w:cs="DengXian-Regular" w:hint="eastAsia"/>
          <w:kern w:val="2"/>
          <w:sz w:val="32"/>
          <w:szCs w:val="32"/>
        </w:rPr>
        <w:t>（1）、绩效评价管理机制不断完善。加强绩效评价管理与财政资金监管、财政监督检查工作的相互融</w:t>
      </w:r>
      <w:bookmarkStart w:id="0" w:name="_GoBack"/>
      <w:bookmarkEnd w:id="0"/>
      <w:r>
        <w:rPr>
          <w:rFonts w:ascii="仿宋_GB2312" w:eastAsia="仿宋_GB2312" w:hAnsi="Times New Roman" w:cs="DengXian-Regular" w:hint="eastAsia"/>
          <w:kern w:val="2"/>
          <w:sz w:val="32"/>
          <w:szCs w:val="32"/>
        </w:rPr>
        <w:t>合，绩效评价在预算分配、预算执行、结果应用的全过程管理机制不断完善。明确了工作重点；规范了工作程序，明确了分阶段工作任务，强化了预算绩效在预算编制、执行中的全过程管理。</w:t>
      </w:r>
    </w:p>
    <w:p w:rsidR="003E4852" w:rsidRDefault="003E4852" w:rsidP="003E4852">
      <w:pPr>
        <w:pStyle w:val="a8"/>
        <w:spacing w:before="0" w:beforeAutospacing="0" w:after="0" w:afterAutospacing="0" w:line="360" w:lineRule="auto"/>
        <w:ind w:firstLineChars="200" w:firstLine="640"/>
        <w:textAlignment w:val="baseline"/>
        <w:rPr>
          <w:rFonts w:ascii="仿宋_GB2312" w:eastAsia="仿宋_GB2312" w:hAnsi="Times New Roman" w:cs="DengXian-Regular"/>
          <w:kern w:val="2"/>
          <w:sz w:val="32"/>
          <w:szCs w:val="32"/>
        </w:rPr>
      </w:pPr>
      <w:r>
        <w:rPr>
          <w:rFonts w:ascii="仿宋_GB2312" w:eastAsia="仿宋_GB2312" w:hAnsi="Times New Roman" w:cs="DengXian-Regular" w:hint="eastAsia"/>
          <w:kern w:val="2"/>
          <w:sz w:val="32"/>
          <w:szCs w:val="32"/>
        </w:rPr>
        <w:t>（2）、绩效目标基本实现全覆盖。绩效目标管理初步建立了比较全面规范的绩效指标体系。同时，将绩效目标随同预算批复和下达，强化资金使用单位的主体责任和效率意识。</w:t>
      </w:r>
    </w:p>
    <w:p w:rsidR="003E4852" w:rsidRDefault="003E4852" w:rsidP="003E4852">
      <w:pPr>
        <w:pStyle w:val="a8"/>
        <w:spacing w:before="0" w:beforeAutospacing="0" w:after="0" w:afterAutospacing="0" w:line="360" w:lineRule="auto"/>
        <w:ind w:firstLineChars="200" w:firstLine="640"/>
        <w:textAlignment w:val="baseline"/>
        <w:rPr>
          <w:rFonts w:ascii="仿宋_GB2312" w:eastAsia="仿宋_GB2312" w:hAnsi="Times New Roman" w:cs="DengXian-Regular"/>
          <w:kern w:val="2"/>
          <w:sz w:val="32"/>
          <w:szCs w:val="32"/>
        </w:rPr>
      </w:pPr>
      <w:r>
        <w:rPr>
          <w:rFonts w:ascii="仿宋_GB2312" w:eastAsia="仿宋_GB2312" w:hAnsi="Times New Roman" w:cs="DengXian-Regular" w:hint="eastAsia"/>
          <w:kern w:val="2"/>
          <w:sz w:val="32"/>
          <w:szCs w:val="32"/>
        </w:rPr>
        <w:t>（3）、绩效管理取得阶段性成果。绩效评价过程中，及时发现财务管理规范性、政策法规的执行方面、预算执行进度方面存在的问题，针对存在问题，加快整改。</w:t>
      </w:r>
    </w:p>
    <w:p w:rsidR="003E4852" w:rsidRDefault="003E4852" w:rsidP="003E4852">
      <w:pPr>
        <w:adjustRightInd w:val="0"/>
        <w:snapToGrid w:val="0"/>
        <w:spacing w:line="580" w:lineRule="exact"/>
        <w:ind w:firstLineChars="200" w:firstLine="640"/>
        <w:rPr>
          <w:rFonts w:ascii="仿宋_GB2312" w:eastAsia="仿宋_GB2312" w:hAnsi="仿宋_GB2312" w:cs="仿宋_GB2312"/>
          <w:sz w:val="32"/>
          <w:szCs w:val="32"/>
        </w:rPr>
      </w:pPr>
    </w:p>
    <w:p w:rsidR="003E4852" w:rsidRDefault="003E4852" w:rsidP="003E4852">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3E4852" w:rsidRDefault="003E4852" w:rsidP="003E4852">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本部门在今年部门决算公开中绩效自评结果综合得分95分。</w:t>
      </w:r>
    </w:p>
    <w:p w:rsidR="003E4852" w:rsidRDefault="003E4852" w:rsidP="003E48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自评综述：根据年初设定的绩效目标，绩效自评得分为95</w:t>
      </w:r>
      <w:r>
        <w:rPr>
          <w:rFonts w:ascii="仿宋_GB2312" w:eastAsia="仿宋_GB2312" w:hAnsi="仿宋_GB2312" w:cs="仿宋_GB2312" w:hint="eastAsia"/>
          <w:sz w:val="32"/>
          <w:szCs w:val="32"/>
        </w:rPr>
        <w:lastRenderedPageBreak/>
        <w:t>分（绩效自评表附后）。</w:t>
      </w:r>
    </w:p>
    <w:p w:rsidR="003E4852" w:rsidRDefault="003E4852" w:rsidP="003E48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绩效目标完成情况：</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3E4852" w:rsidRDefault="003E4852" w:rsidP="003E4852">
      <w:pPr>
        <w:snapToGrid w:val="0"/>
        <w:spacing w:line="360"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2019年基本支出共计539.25万元，主要用于人员支出453.17万元，公用支出86.08万元。年末结转和结余1907.46万元。2019年“三公”经费总计0.1万元，为公务接待费0.1万元。单位严格执行“三公”经费的控制政策，较2018年“三公”经费减少0.1万元。“三公”经费控制率和变动率均符合规定。会议费支出0万元，与2018年持平。培训费支出0万元，与2018年减少1.39万元，例行节俭，减少支出。</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2019年专项支出共计1206.55万元，已全部拨付到位，资金到位率100%。</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3E4852" w:rsidRDefault="003E4852" w:rsidP="003E4852">
      <w:pPr>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专项资金主要用于污染防治项目384.7万元，荣成路与205国道交叉口等建设项目434.28万元，形象广场等建设项目380.07万元，危房改造补助资金5.5万元，保障安居专项奖补资金2万元等。</w:t>
      </w:r>
    </w:p>
    <w:p w:rsidR="003E4852" w:rsidRDefault="003E4852" w:rsidP="003E4852">
      <w:pPr>
        <w:spacing w:line="560" w:lineRule="exact"/>
        <w:ind w:firstLineChars="200" w:firstLine="640"/>
        <w:rPr>
          <w:rFonts w:ascii="仿宋_GB2312" w:eastAsia="仿宋_GB2312" w:hAnsi="仿宋_GB2312" w:cs="仿宋_GB2312"/>
          <w:sz w:val="32"/>
          <w:szCs w:val="32"/>
        </w:rPr>
      </w:pPr>
    </w:p>
    <w:p w:rsidR="003E4852" w:rsidRDefault="003E4852" w:rsidP="003E4852">
      <w:pPr>
        <w:spacing w:line="560" w:lineRule="exact"/>
        <w:ind w:firstLineChars="200" w:firstLine="640"/>
        <w:rPr>
          <w:rFonts w:ascii="仿宋_GB2312" w:eastAsia="仿宋_GB2312" w:hAnsi="仿宋_GB2312" w:cs="仿宋_GB2312"/>
          <w:sz w:val="32"/>
          <w:szCs w:val="32"/>
        </w:rPr>
      </w:pPr>
    </w:p>
    <w:p w:rsidR="003E4852" w:rsidRDefault="003E4852" w:rsidP="003E4852">
      <w:pPr>
        <w:spacing w:line="560" w:lineRule="exact"/>
        <w:ind w:firstLineChars="200" w:firstLine="640"/>
        <w:rPr>
          <w:rFonts w:ascii="仿宋_GB2312" w:eastAsia="仿宋_GB2312" w:hAnsi="仿宋_GB2312" w:cs="仿宋_GB2312"/>
          <w:sz w:val="32"/>
          <w:szCs w:val="32"/>
        </w:rPr>
      </w:pPr>
    </w:p>
    <w:p w:rsidR="003E4852" w:rsidRDefault="003E4852" w:rsidP="003E4852">
      <w:pPr>
        <w:spacing w:line="560" w:lineRule="exact"/>
        <w:ind w:firstLineChars="200" w:firstLine="640"/>
        <w:rPr>
          <w:rFonts w:ascii="仿宋_GB2312" w:eastAsia="仿宋_GB2312" w:hAnsi="仿宋_GB2312" w:cs="仿宋_GB2312"/>
          <w:sz w:val="32"/>
          <w:szCs w:val="32"/>
        </w:rPr>
      </w:pPr>
    </w:p>
    <w:p w:rsidR="003E4852" w:rsidRDefault="003E4852" w:rsidP="003E48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b/>
          <w:bCs/>
          <w:sz w:val="32"/>
          <w:szCs w:val="32"/>
        </w:rPr>
        <w:t>财政评价项目绩效评价结果</w:t>
      </w:r>
    </w:p>
    <w:tbl>
      <w:tblPr>
        <w:tblpPr w:leftFromText="180" w:rightFromText="180" w:vertAnchor="text" w:horzAnchor="page" w:tblpX="852" w:tblpY="474"/>
        <w:tblOverlap w:val="never"/>
        <w:tblW w:w="10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549"/>
        <w:gridCol w:w="732"/>
        <w:gridCol w:w="709"/>
        <w:gridCol w:w="2695"/>
        <w:gridCol w:w="4602"/>
      </w:tblGrid>
      <w:tr w:rsidR="003E4852" w:rsidTr="004E547A">
        <w:trPr>
          <w:trHeight w:val="567"/>
        </w:trPr>
        <w:tc>
          <w:tcPr>
            <w:tcW w:w="10287" w:type="dxa"/>
            <w:gridSpan w:val="5"/>
            <w:vAlign w:val="center"/>
          </w:tcPr>
          <w:p w:rsidR="003E4852" w:rsidRDefault="003E4852" w:rsidP="004E547A">
            <w:pPr>
              <w:autoSpaceDN w:val="0"/>
              <w:spacing w:line="400" w:lineRule="exact"/>
              <w:jc w:val="center"/>
              <w:textAlignment w:val="center"/>
              <w:rPr>
                <w:rFonts w:ascii="仿宋_GB2312" w:eastAsia="仿宋_GB2312" w:hAnsi="仿宋_GB2312" w:cs="仿宋_GB2312"/>
                <w:b/>
                <w:color w:val="000000"/>
                <w:sz w:val="24"/>
              </w:rPr>
            </w:pPr>
            <w:r>
              <w:rPr>
                <w:rFonts w:ascii="黑体" w:eastAsia="黑体" w:hAnsi="黑体" w:cs="黑体" w:hint="eastAsia"/>
                <w:b/>
                <w:color w:val="000000"/>
                <w:sz w:val="28"/>
                <w:szCs w:val="28"/>
              </w:rPr>
              <w:t>三、部门（单位）整体支出绩效自评情况</w:t>
            </w:r>
          </w:p>
        </w:tc>
      </w:tr>
      <w:tr w:rsidR="003E4852" w:rsidTr="004E547A">
        <w:trPr>
          <w:trHeight w:val="567"/>
        </w:trPr>
        <w:tc>
          <w:tcPr>
            <w:tcW w:w="2281" w:type="dxa"/>
            <w:gridSpan w:val="2"/>
            <w:vMerge w:val="restart"/>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绩效目标及实施计划</w:t>
            </w:r>
          </w:p>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c>
          <w:tcPr>
            <w:tcW w:w="3404" w:type="dxa"/>
            <w:gridSpan w:val="2"/>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工作任务</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3E4852" w:rsidTr="004E547A">
        <w:trPr>
          <w:trHeight w:val="1087"/>
        </w:trPr>
        <w:tc>
          <w:tcPr>
            <w:tcW w:w="2281" w:type="dxa"/>
            <w:gridSpan w:val="2"/>
            <w:vMerge/>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任务1：建筑工程质量安全监管</w:t>
            </w:r>
          </w:p>
        </w:tc>
        <w:tc>
          <w:tcPr>
            <w:tcW w:w="4602" w:type="dxa"/>
            <w:vAlign w:val="center"/>
          </w:tcPr>
          <w:p w:rsidR="003E4852" w:rsidRDefault="003E4852" w:rsidP="004E547A">
            <w:pPr>
              <w:autoSpaceDN w:val="0"/>
              <w:spacing w:line="400" w:lineRule="exact"/>
              <w:textAlignment w:val="center"/>
              <w:rPr>
                <w:rFonts w:ascii="仿宋_GB2312" w:eastAsia="仿宋_GB2312" w:hAnsi="仿宋_GB2312" w:cs="仿宋_GB2312"/>
                <w:bCs/>
                <w:color w:val="000000"/>
                <w:sz w:val="24"/>
              </w:rPr>
            </w:pPr>
            <w:r>
              <w:rPr>
                <w:rFonts w:ascii="仿宋" w:eastAsia="仿宋" w:hAnsi="仿宋" w:cs="仿宋" w:hint="eastAsia"/>
                <w:sz w:val="24"/>
                <w:szCs w:val="21"/>
              </w:rPr>
              <w:t>落实了工程建设地方标准、工程质量、建筑安全生产的政策和规章制度，减少了建筑安全生产事故，提高了行业水平</w:t>
            </w:r>
          </w:p>
        </w:tc>
      </w:tr>
      <w:tr w:rsidR="003E4852" w:rsidTr="004E547A">
        <w:trPr>
          <w:trHeight w:val="928"/>
        </w:trPr>
        <w:tc>
          <w:tcPr>
            <w:tcW w:w="2281" w:type="dxa"/>
            <w:gridSpan w:val="2"/>
            <w:vMerge/>
            <w:vAlign w:val="center"/>
          </w:tcPr>
          <w:p w:rsidR="003E4852" w:rsidRDefault="003E4852" w:rsidP="004E547A">
            <w:pPr>
              <w:autoSpaceDN w:val="0"/>
              <w:spacing w:line="400" w:lineRule="exact"/>
              <w:jc w:val="center"/>
              <w:textAlignment w:val="center"/>
              <w:rPr>
                <w:rFonts w:ascii="仿宋_GB2312" w:eastAsia="仿宋_GB2312" w:hAnsi="仿宋_GB2312" w:cs="仿宋_GB2312"/>
                <w:sz w:val="24"/>
              </w:rPr>
            </w:pP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任务2：城市容貌环境综合整治</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有力推进了洁净城市创建进程，加强村镇建设，改善了农村人居环境，实现城乡统筹发展</w:t>
            </w:r>
          </w:p>
        </w:tc>
      </w:tr>
      <w:tr w:rsidR="003E4852" w:rsidTr="004E547A">
        <w:trPr>
          <w:trHeight w:val="928"/>
        </w:trPr>
        <w:tc>
          <w:tcPr>
            <w:tcW w:w="2281" w:type="dxa"/>
            <w:gridSpan w:val="2"/>
            <w:vMerge/>
            <w:vAlign w:val="center"/>
          </w:tcPr>
          <w:p w:rsidR="003E4852" w:rsidRDefault="003E4852" w:rsidP="004E547A">
            <w:pPr>
              <w:autoSpaceDN w:val="0"/>
              <w:spacing w:line="400" w:lineRule="exact"/>
              <w:jc w:val="center"/>
              <w:textAlignment w:val="center"/>
              <w:rPr>
                <w:rFonts w:ascii="仿宋_GB2312" w:eastAsia="仿宋_GB2312" w:hAnsi="仿宋_GB2312" w:cs="仿宋_GB2312"/>
                <w:sz w:val="24"/>
              </w:rPr>
            </w:pP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任务3：城乡规划</w:t>
            </w:r>
          </w:p>
        </w:tc>
        <w:tc>
          <w:tcPr>
            <w:tcW w:w="4602" w:type="dxa"/>
            <w:vAlign w:val="center"/>
          </w:tcPr>
          <w:p w:rsidR="003E4852" w:rsidRDefault="003E4852" w:rsidP="004E547A">
            <w:pPr>
              <w:autoSpaceDN w:val="0"/>
              <w:spacing w:line="400" w:lineRule="exact"/>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加强了城乡规划管理，协调城乡空间布局，改善人居环境，促进城乡经济社会全面协调可持续发展</w:t>
            </w:r>
          </w:p>
        </w:tc>
      </w:tr>
      <w:tr w:rsidR="003E4852" w:rsidTr="004E547A">
        <w:trPr>
          <w:trHeight w:val="454"/>
        </w:trPr>
        <w:tc>
          <w:tcPr>
            <w:tcW w:w="1549" w:type="dxa"/>
            <w:vMerge w:val="restart"/>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整体支出预期效益及实际效益（量化到具体数值，不能量化的细化效益内容）</w:t>
            </w:r>
          </w:p>
        </w:tc>
        <w:tc>
          <w:tcPr>
            <w:tcW w:w="73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p>
        </w:tc>
        <w:tc>
          <w:tcPr>
            <w:tcW w:w="3404" w:type="dxa"/>
            <w:gridSpan w:val="2"/>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预期效益</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实际效益</w:t>
            </w:r>
          </w:p>
        </w:tc>
      </w:tr>
      <w:tr w:rsidR="003E4852" w:rsidTr="004E547A">
        <w:trPr>
          <w:trHeight w:val="851"/>
        </w:trPr>
        <w:tc>
          <w:tcPr>
            <w:tcW w:w="1549" w:type="dxa"/>
            <w:vMerge/>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p>
        </w:tc>
        <w:tc>
          <w:tcPr>
            <w:tcW w:w="73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提高人居生活质量，改善民居环境</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达到了预期目标，社会效益良好</w:t>
            </w:r>
          </w:p>
        </w:tc>
      </w:tr>
      <w:tr w:rsidR="003E4852" w:rsidTr="004E547A">
        <w:trPr>
          <w:trHeight w:val="454"/>
        </w:trPr>
        <w:tc>
          <w:tcPr>
            <w:tcW w:w="1549" w:type="dxa"/>
            <w:vMerge/>
            <w:vAlign w:val="center"/>
          </w:tcPr>
          <w:p w:rsidR="003E4852" w:rsidRDefault="003E4852" w:rsidP="004E547A">
            <w:pPr>
              <w:autoSpaceDN w:val="0"/>
              <w:spacing w:line="400" w:lineRule="exact"/>
              <w:rPr>
                <w:rFonts w:ascii="仿宋_GB2312" w:eastAsia="仿宋_GB2312" w:hAnsi="仿宋_GB2312" w:cs="仿宋_GB2312"/>
                <w:sz w:val="24"/>
              </w:rPr>
            </w:pPr>
          </w:p>
        </w:tc>
        <w:tc>
          <w:tcPr>
            <w:tcW w:w="73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节约社会资源，减少管理成本</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优</w:t>
            </w:r>
          </w:p>
        </w:tc>
      </w:tr>
      <w:tr w:rsidR="003E4852" w:rsidTr="004E547A">
        <w:trPr>
          <w:trHeight w:val="454"/>
        </w:trPr>
        <w:tc>
          <w:tcPr>
            <w:tcW w:w="1549" w:type="dxa"/>
            <w:vMerge/>
            <w:vAlign w:val="center"/>
          </w:tcPr>
          <w:p w:rsidR="003E4852" w:rsidRDefault="003E4852" w:rsidP="004E547A">
            <w:pPr>
              <w:autoSpaceDN w:val="0"/>
              <w:spacing w:line="400" w:lineRule="exact"/>
              <w:rPr>
                <w:rFonts w:ascii="仿宋_GB2312" w:eastAsia="仿宋_GB2312" w:hAnsi="仿宋_GB2312" w:cs="仿宋_GB2312"/>
                <w:sz w:val="24"/>
              </w:rPr>
            </w:pPr>
          </w:p>
        </w:tc>
        <w:tc>
          <w:tcPr>
            <w:tcW w:w="73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保护环境，减少污染</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优</w:t>
            </w:r>
          </w:p>
        </w:tc>
      </w:tr>
      <w:tr w:rsidR="003E4852" w:rsidTr="004E547A">
        <w:trPr>
          <w:trHeight w:val="1985"/>
        </w:trPr>
        <w:tc>
          <w:tcPr>
            <w:tcW w:w="1549" w:type="dxa"/>
            <w:vMerge/>
            <w:vAlign w:val="center"/>
          </w:tcPr>
          <w:p w:rsidR="003E4852" w:rsidRDefault="003E4852" w:rsidP="004E547A">
            <w:pPr>
              <w:autoSpaceDN w:val="0"/>
              <w:spacing w:line="400" w:lineRule="exact"/>
              <w:rPr>
                <w:rFonts w:ascii="仿宋_GB2312" w:eastAsia="仿宋_GB2312" w:hAnsi="仿宋_GB2312" w:cs="仿宋_GB2312"/>
                <w:sz w:val="24"/>
              </w:rPr>
            </w:pPr>
          </w:p>
        </w:tc>
        <w:tc>
          <w:tcPr>
            <w:tcW w:w="73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3404" w:type="dxa"/>
            <w:gridSpan w:val="2"/>
            <w:vAlign w:val="center"/>
          </w:tcPr>
          <w:p w:rsidR="003E4852" w:rsidRDefault="003E4852" w:rsidP="004E547A">
            <w:pPr>
              <w:autoSpaceDN w:val="0"/>
              <w:spacing w:line="40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社会公众满意度</w:t>
            </w:r>
          </w:p>
        </w:tc>
        <w:tc>
          <w:tcPr>
            <w:tcW w:w="4602" w:type="dxa"/>
            <w:vAlign w:val="center"/>
          </w:tcPr>
          <w:p w:rsidR="003E4852" w:rsidRDefault="003E4852" w:rsidP="004E547A">
            <w:pPr>
              <w:autoSpaceDN w:val="0"/>
              <w:spacing w:line="400" w:lineRule="exact"/>
              <w:jc w:val="center"/>
              <w:textAlignment w:val="center"/>
              <w:rPr>
                <w:rFonts w:ascii="仿宋_GB2312" w:eastAsia="仿宋_GB2312" w:hAnsi="仿宋_GB2312" w:cs="仿宋_GB2312"/>
                <w:bCs/>
                <w:color w:val="000000"/>
                <w:sz w:val="24"/>
              </w:rPr>
            </w:pPr>
            <w:r>
              <w:rPr>
                <w:rFonts w:ascii="仿宋_GB2312" w:eastAsia="仿宋_GB2312" w:hAnsi="仿宋_GB2312" w:cs="仿宋_GB2312" w:hint="eastAsia"/>
                <w:bCs/>
                <w:color w:val="000000"/>
                <w:sz w:val="24"/>
              </w:rPr>
              <w:t>社会公众满意度100%</w:t>
            </w:r>
          </w:p>
        </w:tc>
      </w:tr>
      <w:tr w:rsidR="003E4852" w:rsidTr="004E547A">
        <w:trPr>
          <w:trHeight w:val="724"/>
        </w:trPr>
        <w:tc>
          <w:tcPr>
            <w:tcW w:w="2990" w:type="dxa"/>
            <w:gridSpan w:val="3"/>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7297" w:type="dxa"/>
            <w:gridSpan w:val="2"/>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r>
      <w:tr w:rsidR="003E4852" w:rsidTr="004E547A">
        <w:trPr>
          <w:trHeight w:val="706"/>
        </w:trPr>
        <w:tc>
          <w:tcPr>
            <w:tcW w:w="2990" w:type="dxa"/>
            <w:gridSpan w:val="3"/>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7297" w:type="dxa"/>
            <w:gridSpan w:val="2"/>
            <w:vAlign w:val="center"/>
          </w:tcPr>
          <w:p w:rsidR="003E4852" w:rsidRDefault="003E4852" w:rsidP="004E547A">
            <w:pPr>
              <w:autoSpaceDN w:val="0"/>
              <w:spacing w:line="40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bl>
    <w:p w:rsidR="003E4852" w:rsidRDefault="003E4852" w:rsidP="003E4852">
      <w:pPr>
        <w:spacing w:line="560" w:lineRule="exact"/>
        <w:rPr>
          <w:rFonts w:ascii="仿宋_GB2312" w:eastAsia="仿宋_GB2312" w:hAnsi="仿宋_GB2312" w:cs="仿宋_GB2312"/>
          <w:sz w:val="32"/>
          <w:szCs w:val="32"/>
        </w:rPr>
      </w:pPr>
    </w:p>
    <w:p w:rsidR="003E4852" w:rsidRDefault="003E4852" w:rsidP="003E48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3E4852" w:rsidRDefault="003E4852" w:rsidP="003E4852">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本部门2019年度机关运行经费支出86.08万元，比2018年度减少95.74万元，降低47.34%。主要原因是厉行节俭。</w:t>
      </w:r>
    </w:p>
    <w:p w:rsidR="003E4852" w:rsidRDefault="003E4852" w:rsidP="003E4852">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3E4852" w:rsidRDefault="003E4852" w:rsidP="003E4852">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本部门2019年度政府采购支出总额1835.01万元，从采购类型来看，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435.67</w:t>
      </w:r>
      <w:r>
        <w:rPr>
          <w:rFonts w:ascii="仿宋_GB2312" w:eastAsia="仿宋_GB2312" w:hAnsi="仿宋_GB2312" w:cs="仿宋_GB2312"/>
          <w:color w:val="000000"/>
          <w:kern w:val="0"/>
          <w:sz w:val="32"/>
          <w:szCs w:val="32"/>
        </w:rPr>
        <w:t xml:space="preserve"> 万元、政府采购工程支出</w:t>
      </w:r>
      <w:r>
        <w:rPr>
          <w:rFonts w:ascii="仿宋_GB2312" w:eastAsia="仿宋_GB2312" w:hAnsi="仿宋_GB2312" w:cs="仿宋_GB2312" w:hint="eastAsia"/>
          <w:color w:val="000000"/>
          <w:kern w:val="0"/>
          <w:sz w:val="32"/>
          <w:szCs w:val="32"/>
        </w:rPr>
        <w:t>780.14</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619.2</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1835.01</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960.37</w:t>
      </w:r>
      <w:r>
        <w:rPr>
          <w:rFonts w:ascii="仿宋_GB2312" w:eastAsia="仿宋_GB2312" w:hAnsi="仿宋_GB2312" w:cs="仿宋_GB2312"/>
          <w:color w:val="000000"/>
          <w:kern w:val="0"/>
          <w:sz w:val="32"/>
          <w:szCs w:val="32"/>
        </w:rPr>
        <w:t xml:space="preserve">万元，占政府采购支出总额的 </w:t>
      </w:r>
      <w:r>
        <w:rPr>
          <w:rFonts w:ascii="仿宋_GB2312" w:eastAsia="仿宋_GB2312" w:hAnsi="仿宋_GB2312" w:cs="仿宋_GB2312" w:hint="eastAsia"/>
          <w:color w:val="000000"/>
          <w:kern w:val="0"/>
          <w:sz w:val="32"/>
          <w:szCs w:val="32"/>
        </w:rPr>
        <w:t>52.34</w:t>
      </w:r>
      <w:r>
        <w:rPr>
          <w:rFonts w:ascii="仿宋_GB2312" w:eastAsia="仿宋_GB2312" w:hAnsi="仿宋_GB2312" w:cs="仿宋_GB2312"/>
          <w:color w:val="000000"/>
          <w:kern w:val="0"/>
          <w:sz w:val="32"/>
          <w:szCs w:val="32"/>
        </w:rPr>
        <w:t>%。</w:t>
      </w:r>
    </w:p>
    <w:p w:rsidR="003E4852" w:rsidRDefault="003E4852" w:rsidP="003E4852">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0辆，比上年增加（减少）0辆，主要是本单位无此车辆。其中，副部（省）级及以上领导用车0辆，主要领导干部用车0辆，机要通信用车0辆，应急保障用车0辆，执法执勤用车1辆，特种专业技术用车0辆，离退休干部用车0辆，其他用车0辆，无其他车辆；</w:t>
      </w:r>
    </w:p>
    <w:p w:rsidR="003E4852" w:rsidRDefault="003E4852" w:rsidP="003E4852">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万元以上通用设备0台（套），比上年增加（减少）0套，主要是本单位无此车辆，单位价值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万元以上专用设备0台（套）比上年增加（减少）0套，主要是本单位无此车辆。</w:t>
      </w:r>
    </w:p>
    <w:p w:rsidR="003E4852" w:rsidRDefault="003E4852" w:rsidP="003E4852">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（四）其他需要说明的情况</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本部门2019年度有收支及结转结余情况，故公开04表列示。</w:t>
      </w:r>
    </w:p>
    <w:p w:rsidR="003E4852" w:rsidRDefault="003E4852" w:rsidP="003E4852">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3E4852" w:rsidRDefault="003E4852" w:rsidP="003E4852">
      <w:pPr>
        <w:widowControl/>
        <w:spacing w:line="580" w:lineRule="exact"/>
        <w:ind w:firstLineChars="200" w:firstLine="883"/>
        <w:jc w:val="left"/>
        <w:rPr>
          <w:rFonts w:ascii="宋体" w:eastAsia="宋体" w:hAnsi="宋体" w:cs="MS-UIGothic,Bold"/>
          <w:b/>
          <w:bCs/>
          <w:kern w:val="0"/>
          <w:sz w:val="44"/>
          <w:szCs w:val="44"/>
        </w:rPr>
        <w:sectPr w:rsidR="003E4852">
          <w:type w:val="continuous"/>
          <w:pgSz w:w="11906" w:h="16838"/>
          <w:pgMar w:top="2098" w:right="1474" w:bottom="1984" w:left="1588" w:header="851" w:footer="992" w:gutter="0"/>
          <w:pgNumType w:fmt="numberInDash"/>
          <w:cols w:space="0"/>
          <w:docGrid w:type="lines" w:linePitch="312"/>
        </w:sect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sectPr w:rsidR="003E4852">
          <w:type w:val="continuous"/>
          <w:pgSz w:w="11906" w:h="16838"/>
          <w:pgMar w:top="2041" w:right="1531" w:bottom="2041" w:left="1531" w:header="851" w:footer="992" w:gutter="0"/>
          <w:pgNumType w:fmt="numberInDash"/>
          <w:cols w:space="0"/>
          <w:titlePg/>
          <w:docGrid w:type="lines" w:linePitch="312"/>
        </w:sectPr>
      </w:pPr>
    </w:p>
    <w:p w:rsidR="003E4852" w:rsidRDefault="003E4852" w:rsidP="003E4852">
      <w:pPr>
        <w:rPr>
          <w:rFonts w:ascii="黑体" w:eastAsia="黑体" w:hAnsi="黑体" w:cs="黑体"/>
          <w:sz w:val="56"/>
          <w:szCs w:val="72"/>
        </w:rPr>
        <w:sectPr w:rsidR="003E4852">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3E4852" w:rsidRDefault="003E4852" w:rsidP="003E4852">
      <w:pP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3E4852" w:rsidP="003E4852">
      <w:pPr>
        <w:jc w:val="center"/>
        <w:rPr>
          <w:rFonts w:ascii="黑体" w:eastAsia="黑体" w:hAnsi="黑体" w:cs="黑体"/>
          <w:sz w:val="56"/>
          <w:szCs w:val="72"/>
        </w:rPr>
      </w:pPr>
    </w:p>
    <w:p w:rsidR="003E4852" w:rsidRDefault="00662FAB" w:rsidP="003E4852">
      <w:pPr>
        <w:jc w:val="center"/>
        <w:rPr>
          <w:sz w:val="72"/>
        </w:rPr>
      </w:pPr>
      <w:r>
        <w:rPr>
          <w:sz w:val="72"/>
        </w:rPr>
        <w:pict>
          <v:shape id="_x0000_s1057" type="#_x0000_t202" style="position:absolute;left:0;text-align:left;margin-left:-80.45pt;margin-top:34.8pt;width:613.65pt;height:263.1pt;z-index:251671552;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2" o:title="image1" color2="white [3212]" type="pattern"/>
            <v:stroke joinstyle="round"/>
            <v:textbox>
              <w:txbxContent>
                <w:p w:rsidR="003E4852" w:rsidRDefault="003E4852" w:rsidP="003E4852">
                  <w:pPr>
                    <w:widowControl/>
                    <w:jc w:val="center"/>
                  </w:pPr>
                  <w:r>
                    <w:rPr>
                      <w:rFonts w:ascii="黑体" w:eastAsia="黑体" w:hAnsi="黑体" w:cs="黑体" w:hint="eastAsia"/>
                      <w:color w:val="000000" w:themeColor="text1"/>
                      <w:sz w:val="90"/>
                      <w:szCs w:val="90"/>
                    </w:rPr>
                    <w:t xml:space="preserve">第三部分 </w:t>
                  </w:r>
                  <w:r>
                    <w:rPr>
                      <w:rFonts w:ascii="黑体" w:eastAsia="黑体" w:hAnsi="黑体" w:cs="黑体" w:hint="eastAsia"/>
                      <w:color w:val="000000" w:themeColor="text1"/>
                      <w:sz w:val="90"/>
                      <w:szCs w:val="90"/>
                    </w:rPr>
                    <w:t>相关名词解释</w:t>
                  </w:r>
                </w:p>
              </w:txbxContent>
            </v:textbox>
          </v:shape>
        </w:pict>
      </w:r>
    </w:p>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Pr>
        <w:tabs>
          <w:tab w:val="left" w:pos="886"/>
        </w:tabs>
        <w:jc w:val="left"/>
        <w:sectPr w:rsidR="003E4852">
          <w:headerReference w:type="first" r:id="rId30"/>
          <w:pgSz w:w="11906" w:h="16838"/>
          <w:pgMar w:top="2041" w:right="1531" w:bottom="2041" w:left="1531" w:header="851" w:footer="992" w:gutter="0"/>
          <w:pgNumType w:fmt="numberInDash"/>
          <w:cols w:space="0"/>
          <w:titlePg/>
          <w:docGrid w:type="lines" w:linePitch="312"/>
        </w:sectPr>
      </w:pPr>
    </w:p>
    <w:p w:rsidR="003E4852" w:rsidRDefault="003E4852" w:rsidP="003E4852">
      <w:pPr>
        <w:rPr>
          <w:rFonts w:ascii="仿宋_GB2312" w:eastAsia="仿宋_GB2312" w:hAnsi="宋体" w:cs="ArialUnicodeMS"/>
          <w:sz w:val="32"/>
          <w:szCs w:val="32"/>
          <w:highlight w:val="yellow"/>
        </w:rPr>
      </w:pP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3E4852" w:rsidRDefault="003E4852" w:rsidP="003E4852">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3E4852" w:rsidRDefault="003E4852" w:rsidP="003E4852">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3E4852" w:rsidRDefault="003E4852" w:rsidP="003E4852">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E4852" w:rsidRDefault="003E4852" w:rsidP="003E4852">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 w:rsidR="003E4852" w:rsidRDefault="003E4852" w:rsidP="003E4852">
      <w:pPr>
        <w:jc w:val="left"/>
        <w:sectPr w:rsidR="003E4852">
          <w:headerReference w:type="default" r:id="rId31"/>
          <w:type w:val="continuous"/>
          <w:pgSz w:w="11906" w:h="16838"/>
          <w:pgMar w:top="2098" w:right="1474" w:bottom="1985" w:left="1588" w:header="851" w:footer="992" w:gutter="0"/>
          <w:pgNumType w:fmt="numberInDash"/>
          <w:cols w:space="425"/>
          <w:docGrid w:type="lines" w:linePitch="312"/>
        </w:sectPr>
      </w:pPr>
    </w:p>
    <w:p w:rsidR="003E4852" w:rsidRDefault="00662FAB" w:rsidP="003E4852">
      <w:pPr>
        <w:tabs>
          <w:tab w:val="left" w:pos="235"/>
        </w:tabs>
        <w:jc w:val="left"/>
        <w:sectPr w:rsidR="003E4852">
          <w:pgSz w:w="11906" w:h="16838"/>
          <w:pgMar w:top="2098" w:right="1474" w:bottom="1985" w:left="1588" w:header="851" w:footer="992" w:gutter="0"/>
          <w:pgNumType w:fmt="numberInDash"/>
          <w:cols w:space="425"/>
          <w:docGrid w:type="lines" w:linePitch="312"/>
        </w:sectPr>
      </w:pPr>
      <w:r w:rsidRPr="00662FAB">
        <w:rPr>
          <w:sz w:val="72"/>
        </w:rPr>
        <w:lastRenderedPageBreak/>
        <w:pict>
          <v:shape id="_x0000_s1053" type="#_x0000_t202" style="position:absolute;margin-left:-82.05pt;margin-top:135.85pt;width:613.65pt;height:263.1pt;z-index:-251649024;v-text-anchor:middle"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fillcolor="#ffd966" strokecolor="#ffd966" strokeweight=".5pt">
            <v:fill r:id="rId22" o:title="image1" color2="white [3212]" type="pattern"/>
            <v:stroke joinstyle="round"/>
            <v:textbox>
              <w:txbxContent>
                <w:p w:rsidR="003E4852" w:rsidRDefault="003E4852" w:rsidP="003E4852">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3E4852" w:rsidRDefault="003E4852" w:rsidP="003E4852">
                  <w:pPr>
                    <w:widowControl/>
                    <w:jc w:val="center"/>
                  </w:pPr>
                  <w:r>
                    <w:rPr>
                      <w:rFonts w:ascii="黑体" w:eastAsia="黑体" w:hAnsi="黑体" w:cs="黑体" w:hint="eastAsia"/>
                      <w:color w:val="000000" w:themeColor="text1"/>
                      <w:sz w:val="90"/>
                      <w:szCs w:val="90"/>
                    </w:rPr>
                    <w:t>2019</w:t>
                  </w:r>
                  <w:r>
                    <w:rPr>
                      <w:rFonts w:ascii="黑体" w:eastAsia="黑体" w:hAnsi="黑体" w:cs="黑体" w:hint="eastAsia"/>
                      <w:color w:val="000000" w:themeColor="text1"/>
                      <w:sz w:val="90"/>
                      <w:szCs w:val="90"/>
                    </w:rPr>
                    <w:t>年度部门决算报表</w:t>
                  </w:r>
                </w:p>
              </w:txbxContent>
            </v:textbox>
          </v:shape>
        </w:pict>
      </w:r>
    </w:p>
    <w:tbl>
      <w:tblPr>
        <w:tblpPr w:leftFromText="180" w:rightFromText="180" w:vertAnchor="text" w:horzAnchor="page" w:tblpXSpec="center" w:tblpY="705"/>
        <w:tblOverlap w:val="never"/>
        <w:tblW w:w="10120" w:type="dxa"/>
        <w:jc w:val="center"/>
        <w:tblLayout w:type="fixed"/>
        <w:tblCellMar>
          <w:left w:w="0" w:type="dxa"/>
          <w:right w:w="0" w:type="dxa"/>
        </w:tblCellMar>
        <w:tblLook w:val="04A0"/>
      </w:tblPr>
      <w:tblGrid>
        <w:gridCol w:w="3440"/>
        <w:gridCol w:w="670"/>
        <w:gridCol w:w="1071"/>
        <w:gridCol w:w="3462"/>
        <w:gridCol w:w="574"/>
        <w:gridCol w:w="903"/>
      </w:tblGrid>
      <w:tr w:rsidR="003E4852" w:rsidTr="004E547A">
        <w:trPr>
          <w:trHeight w:val="90"/>
          <w:jc w:val="center"/>
        </w:trPr>
        <w:tc>
          <w:tcPr>
            <w:tcW w:w="10120" w:type="dxa"/>
            <w:gridSpan w:val="6"/>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收入支出决算总表</w:t>
            </w:r>
          </w:p>
        </w:tc>
      </w:tr>
      <w:tr w:rsidR="003E4852" w:rsidTr="004E547A">
        <w:trPr>
          <w:trHeight w:val="90"/>
          <w:jc w:val="center"/>
        </w:trPr>
        <w:tc>
          <w:tcPr>
            <w:tcW w:w="344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7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07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939" w:type="dxa"/>
            <w:gridSpan w:val="3"/>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3E4852" w:rsidTr="004E547A">
        <w:trPr>
          <w:trHeight w:val="90"/>
          <w:jc w:val="center"/>
        </w:trPr>
        <w:tc>
          <w:tcPr>
            <w:tcW w:w="344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67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07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939" w:type="dxa"/>
            <w:gridSpan w:val="3"/>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90"/>
          <w:jc w:val="center"/>
        </w:trPr>
        <w:tc>
          <w:tcPr>
            <w:tcW w:w="51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93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1507.27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2145.99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69.74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384.7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1214.55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45.5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31.3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3653.26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1745.8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1907.46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3E4852" w:rsidTr="004E547A">
        <w:trPr>
          <w:trHeight w:val="90"/>
          <w:jc w:val="center"/>
        </w:trPr>
        <w:tc>
          <w:tcPr>
            <w:tcW w:w="344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6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10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3653.26　</w:t>
            </w:r>
          </w:p>
        </w:tc>
        <w:tc>
          <w:tcPr>
            <w:tcW w:w="34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9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3653.26　</w:t>
            </w:r>
          </w:p>
        </w:tc>
      </w:tr>
      <w:tr w:rsidR="003E4852" w:rsidTr="004E547A">
        <w:trPr>
          <w:trHeight w:val="90"/>
          <w:jc w:val="center"/>
        </w:trPr>
        <w:tc>
          <w:tcPr>
            <w:tcW w:w="10120" w:type="dxa"/>
            <w:gridSpan w:val="6"/>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3E4852" w:rsidRDefault="003E4852" w:rsidP="004E547A">
            <w:pPr>
              <w:widowControl/>
              <w:jc w:val="left"/>
              <w:textAlignment w:val="center"/>
              <w:rPr>
                <w:rFonts w:ascii="宋体" w:eastAsia="宋体" w:hAnsi="宋体" w:cs="宋体"/>
                <w:color w:val="000000"/>
                <w:kern w:val="0"/>
                <w:sz w:val="22"/>
              </w:rPr>
            </w:pPr>
          </w:p>
          <w:p w:rsidR="003E4852" w:rsidRDefault="003E4852" w:rsidP="004E547A">
            <w:pPr>
              <w:widowControl/>
              <w:jc w:val="left"/>
              <w:textAlignment w:val="center"/>
              <w:rPr>
                <w:rFonts w:ascii="宋体" w:eastAsia="宋体" w:hAnsi="宋体" w:cs="宋体"/>
                <w:color w:val="000000"/>
                <w:kern w:val="0"/>
                <w:sz w:val="22"/>
              </w:rPr>
            </w:pPr>
          </w:p>
        </w:tc>
      </w:tr>
    </w:tbl>
    <w:p w:rsidR="003E4852" w:rsidRDefault="003E4852" w:rsidP="003E4852">
      <w:pPr>
        <w:tabs>
          <w:tab w:val="left" w:pos="886"/>
        </w:tabs>
        <w:jc w:val="left"/>
      </w:pPr>
    </w:p>
    <w:p w:rsidR="003E4852" w:rsidRDefault="003E4852" w:rsidP="003E4852">
      <w:pPr>
        <w:jc w:val="left"/>
      </w:pPr>
    </w:p>
    <w:tbl>
      <w:tblPr>
        <w:tblW w:w="10539" w:type="dxa"/>
        <w:jc w:val="center"/>
        <w:tblLayout w:type="fixed"/>
        <w:tblCellMar>
          <w:left w:w="0" w:type="dxa"/>
          <w:right w:w="0" w:type="dxa"/>
        </w:tblCellMar>
        <w:tblLook w:val="04A0"/>
      </w:tblPr>
      <w:tblGrid>
        <w:gridCol w:w="716"/>
        <w:gridCol w:w="50"/>
        <w:gridCol w:w="50"/>
        <w:gridCol w:w="3657"/>
        <w:gridCol w:w="1322"/>
        <w:gridCol w:w="1318"/>
        <w:gridCol w:w="824"/>
        <w:gridCol w:w="644"/>
        <w:gridCol w:w="555"/>
        <w:gridCol w:w="576"/>
        <w:gridCol w:w="827"/>
      </w:tblGrid>
      <w:tr w:rsidR="003E4852" w:rsidTr="004E547A">
        <w:trPr>
          <w:trHeight w:val="670"/>
          <w:jc w:val="center"/>
        </w:trPr>
        <w:tc>
          <w:tcPr>
            <w:tcW w:w="10539" w:type="dxa"/>
            <w:gridSpan w:val="11"/>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center"/>
              <w:textAlignment w:val="bottom"/>
              <w:rPr>
                <w:rFonts w:ascii="黑体" w:eastAsia="黑体" w:hAnsi="宋体" w:cs="黑体"/>
                <w:color w:val="000000"/>
                <w:kern w:val="0"/>
                <w:sz w:val="32"/>
                <w:szCs w:val="32"/>
              </w:rPr>
            </w:pPr>
          </w:p>
          <w:p w:rsidR="003E4852" w:rsidRDefault="003E4852" w:rsidP="004E547A">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3E4852" w:rsidTr="004E547A">
        <w:trPr>
          <w:trHeight w:val="357"/>
          <w:jc w:val="center"/>
        </w:trPr>
        <w:tc>
          <w:tcPr>
            <w:tcW w:w="71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66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2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82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4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556"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405"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3E4852" w:rsidTr="004E547A">
        <w:trPr>
          <w:trHeight w:val="357"/>
          <w:jc w:val="center"/>
        </w:trPr>
        <w:tc>
          <w:tcPr>
            <w:tcW w:w="71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66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2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2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82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4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961" w:type="dxa"/>
            <w:gridSpan w:val="3"/>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385"/>
          <w:jc w:val="center"/>
        </w:trPr>
        <w:tc>
          <w:tcPr>
            <w:tcW w:w="4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32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32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82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6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55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57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82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3E4852" w:rsidTr="004E547A">
        <w:trPr>
          <w:trHeight w:val="380"/>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66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3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2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5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80"/>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366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2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5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80"/>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366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2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2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5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57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2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85"/>
          <w:jc w:val="center"/>
        </w:trPr>
        <w:tc>
          <w:tcPr>
            <w:tcW w:w="4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32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3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4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5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3E4852" w:rsidTr="004E547A">
        <w:trPr>
          <w:trHeight w:val="385"/>
          <w:jc w:val="center"/>
        </w:trPr>
        <w:tc>
          <w:tcPr>
            <w:tcW w:w="4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3653.26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3653.26</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节能环保支出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污染防治</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大气</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908</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2549.12</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2549.12</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城乡社区管理事务</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2.6</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2120104</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2.6</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2.6</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393.03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393.03</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393.03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393.03</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国有土地使用权出让收入及对应专项再无收入安排的支出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2120802</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土地开发支出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城市基础设施配套安排的支出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697.55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697.55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2121399</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其他城市基础设施配套费安排的支出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697.55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697.55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21307</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农村综合改革</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2130799</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其他农村综合改革支出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80.9</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80.9</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保障性安居工程支出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57.1</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57.1</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2210105</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农村危房改造</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55.1</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55.1</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lastRenderedPageBreak/>
              <w:t>2210199</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其他保障性安居工程支出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2120201</w:t>
            </w:r>
          </w:p>
        </w:tc>
        <w:tc>
          <w:tcPr>
            <w:tcW w:w="36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3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3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8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6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5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57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85"/>
          <w:jc w:val="center"/>
        </w:trPr>
        <w:tc>
          <w:tcPr>
            <w:tcW w:w="10539" w:type="dxa"/>
            <w:gridSpan w:val="11"/>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3E4852" w:rsidRDefault="003E4852" w:rsidP="003E4852">
      <w:pPr>
        <w:jc w:val="left"/>
      </w:pPr>
    </w:p>
    <w:p w:rsidR="003E4852" w:rsidRDefault="003E4852" w:rsidP="003E4852">
      <w: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3E4852" w:rsidTr="004E547A">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3E4852" w:rsidTr="004E547A">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3E4852" w:rsidTr="004E547A">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3E4852" w:rsidTr="004E547A">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3E4852" w:rsidTr="004E547A">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1745.8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539.25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1206.55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节能环保支出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污染防治</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大气</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1214.55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400.21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814.35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城乡社区管理事务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国有土地使用权出让收入及对应专项再无收入安排的支出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p w:rsidR="003E4852" w:rsidRDefault="003E4852" w:rsidP="004E547A">
            <w:pP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土地开发支出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城市基础设施配套安排的支出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其他城市基础设施配套费安排的支出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lastRenderedPageBreak/>
              <w:t>21307</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农村综合改革</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2130799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其他农村综合改革支出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31.3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保障性安居工程支出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农村危房改造</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其他保障性安居工程支出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3E4852" w:rsidRDefault="003E4852" w:rsidP="003E4852">
      <w:r>
        <w:br w:type="page"/>
      </w:r>
    </w:p>
    <w:tbl>
      <w:tblPr>
        <w:tblW w:w="10300" w:type="dxa"/>
        <w:jc w:val="center"/>
        <w:tblLayout w:type="fixed"/>
        <w:tblCellMar>
          <w:left w:w="0" w:type="dxa"/>
          <w:right w:w="0" w:type="dxa"/>
        </w:tblCellMar>
        <w:tblLook w:val="04A0"/>
      </w:tblPr>
      <w:tblGrid>
        <w:gridCol w:w="2983"/>
        <w:gridCol w:w="636"/>
        <w:gridCol w:w="715"/>
        <w:gridCol w:w="3044"/>
        <w:gridCol w:w="689"/>
        <w:gridCol w:w="631"/>
        <w:gridCol w:w="739"/>
        <w:gridCol w:w="863"/>
      </w:tblGrid>
      <w:tr w:rsidR="003E4852" w:rsidTr="004E547A">
        <w:trPr>
          <w:trHeight w:val="90"/>
          <w:jc w:val="center"/>
        </w:trPr>
        <w:tc>
          <w:tcPr>
            <w:tcW w:w="10300" w:type="dxa"/>
            <w:gridSpan w:val="8"/>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3E4852" w:rsidTr="004E547A">
        <w:trPr>
          <w:trHeight w:val="90"/>
          <w:jc w:val="center"/>
        </w:trPr>
        <w:tc>
          <w:tcPr>
            <w:tcW w:w="298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36"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1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04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89"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2233" w:type="dxa"/>
            <w:gridSpan w:val="3"/>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3E4852" w:rsidTr="004E547A">
        <w:trPr>
          <w:trHeight w:val="90"/>
          <w:jc w:val="center"/>
        </w:trPr>
        <w:tc>
          <w:tcPr>
            <w:tcW w:w="298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636"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1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04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89"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2233" w:type="dxa"/>
            <w:gridSpan w:val="3"/>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90"/>
          <w:jc w:val="center"/>
        </w:trPr>
        <w:tc>
          <w:tcPr>
            <w:tcW w:w="43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966"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3E4852" w:rsidTr="004E547A">
        <w:trPr>
          <w:trHeight w:val="312"/>
          <w:jc w:val="center"/>
        </w:trPr>
        <w:tc>
          <w:tcPr>
            <w:tcW w:w="298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3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7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0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3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73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8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3E4852" w:rsidTr="004E547A">
        <w:trPr>
          <w:trHeight w:val="312"/>
          <w:jc w:val="center"/>
        </w:trPr>
        <w:tc>
          <w:tcPr>
            <w:tcW w:w="298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3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30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3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3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r>
              <w:rPr>
                <w:rFonts w:ascii="宋体" w:eastAsia="宋体" w:hAnsi="宋体" w:cs="宋体" w:hint="eastAsia"/>
                <w:color w:val="000000"/>
                <w:sz w:val="18"/>
                <w:szCs w:val="18"/>
              </w:rPr>
              <w:t>1507.27</w:t>
            </w: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r>
              <w:rPr>
                <w:rFonts w:ascii="宋体" w:eastAsia="宋体" w:hAnsi="宋体" w:cs="宋体" w:hint="eastAsia"/>
                <w:color w:val="000000"/>
                <w:sz w:val="18"/>
                <w:szCs w:val="18"/>
              </w:rPr>
              <w:t>2145.99</w:t>
            </w: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69.74</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69.74</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384.7</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384.7</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1214.55</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400.21</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814.35</w:t>
            </w: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45.5</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45.5</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Cs w:val="21"/>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31.3</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31.3</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r>
              <w:rPr>
                <w:rFonts w:ascii="宋体" w:eastAsia="宋体" w:hAnsi="宋体" w:cs="宋体" w:hint="eastAsia"/>
                <w:color w:val="000000"/>
                <w:sz w:val="18"/>
                <w:szCs w:val="18"/>
              </w:rPr>
              <w:t>3653.26</w:t>
            </w: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1745.8</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931.45</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814.35</w:t>
            </w: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1907.46</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575.82</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rPr>
                <w:rFonts w:ascii="宋体" w:eastAsia="宋体" w:hAnsi="宋体" w:cs="宋体"/>
                <w:color w:val="000000"/>
                <w:sz w:val="16"/>
                <w:szCs w:val="16"/>
              </w:rPr>
            </w:pPr>
            <w:r>
              <w:rPr>
                <w:rFonts w:ascii="宋体" w:eastAsia="宋体" w:hAnsi="宋体" w:cs="宋体" w:hint="eastAsia"/>
                <w:color w:val="000000"/>
                <w:sz w:val="16"/>
                <w:szCs w:val="16"/>
              </w:rPr>
              <w:t>1331.64</w:t>
            </w: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90"/>
          <w:jc w:val="center"/>
        </w:trPr>
        <w:tc>
          <w:tcPr>
            <w:tcW w:w="298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7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8"/>
                <w:szCs w:val="18"/>
              </w:rPr>
            </w:pPr>
            <w:r>
              <w:rPr>
                <w:rFonts w:ascii="宋体" w:eastAsia="宋体" w:hAnsi="宋体" w:cs="宋体" w:hint="eastAsia"/>
                <w:color w:val="000000"/>
                <w:sz w:val="18"/>
                <w:szCs w:val="18"/>
              </w:rPr>
              <w:t>3653.26</w:t>
            </w:r>
          </w:p>
        </w:tc>
        <w:tc>
          <w:tcPr>
            <w:tcW w:w="30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6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6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3653.26</w:t>
            </w:r>
          </w:p>
        </w:tc>
        <w:tc>
          <w:tcPr>
            <w:tcW w:w="7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1507.27</w:t>
            </w:r>
          </w:p>
        </w:tc>
        <w:tc>
          <w:tcPr>
            <w:tcW w:w="8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16"/>
                <w:szCs w:val="16"/>
              </w:rPr>
            </w:pPr>
            <w:r>
              <w:rPr>
                <w:rFonts w:ascii="宋体" w:eastAsia="宋体" w:hAnsi="宋体" w:cs="宋体" w:hint="eastAsia"/>
                <w:color w:val="000000"/>
                <w:sz w:val="16"/>
                <w:szCs w:val="16"/>
              </w:rPr>
              <w:t>2145.99</w:t>
            </w:r>
          </w:p>
        </w:tc>
      </w:tr>
      <w:tr w:rsidR="003E4852" w:rsidTr="004E547A">
        <w:trPr>
          <w:trHeight w:val="90"/>
          <w:jc w:val="center"/>
        </w:trPr>
        <w:tc>
          <w:tcPr>
            <w:tcW w:w="10300" w:type="dxa"/>
            <w:gridSpan w:val="8"/>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3E4852" w:rsidRDefault="003E4852" w:rsidP="003E4852">
      <w:r>
        <w:br w:type="page"/>
      </w:r>
    </w:p>
    <w:tbl>
      <w:tblPr>
        <w:tblW w:w="10090" w:type="dxa"/>
        <w:jc w:val="center"/>
        <w:tblCellMar>
          <w:left w:w="0" w:type="dxa"/>
          <w:right w:w="0" w:type="dxa"/>
        </w:tblCellMar>
        <w:tblLook w:val="04A0"/>
      </w:tblPr>
      <w:tblGrid>
        <w:gridCol w:w="916"/>
        <w:gridCol w:w="52"/>
        <w:gridCol w:w="52"/>
        <w:gridCol w:w="3562"/>
        <w:gridCol w:w="1914"/>
        <w:gridCol w:w="1914"/>
        <w:gridCol w:w="1680"/>
      </w:tblGrid>
      <w:tr w:rsidR="003E4852" w:rsidTr="004E547A">
        <w:trPr>
          <w:trHeight w:val="600"/>
          <w:jc w:val="center"/>
        </w:trPr>
        <w:tc>
          <w:tcPr>
            <w:tcW w:w="10090" w:type="dxa"/>
            <w:gridSpan w:val="7"/>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3E4852" w:rsidTr="004E547A">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3E4852" w:rsidTr="004E547A">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60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3E4852" w:rsidTr="004E547A">
        <w:trPr>
          <w:trHeight w:val="312"/>
          <w:jc w:val="center"/>
        </w:trPr>
        <w:tc>
          <w:tcPr>
            <w:tcW w:w="99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93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93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7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3E4852" w:rsidTr="004E547A">
        <w:trPr>
          <w:trHeight w:val="312"/>
          <w:jc w:val="center"/>
        </w:trPr>
        <w:tc>
          <w:tcPr>
            <w:tcW w:w="99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7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12"/>
          <w:jc w:val="center"/>
        </w:trPr>
        <w:tc>
          <w:tcPr>
            <w:tcW w:w="99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93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7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3E4852" w:rsidTr="004E547A">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931.45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539.25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392.2</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2101101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节能环保支出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污染防治</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2110301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大气</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384.7</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400.21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400.21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2120104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391.11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2129901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农村综合改革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2130799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其他农村综合改革支出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保障性安居工程支出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7.5</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农村危房改造</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5.5</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其他保障性安居工程支出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w:t>
            </w: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bl>
    <w:p w:rsidR="003E4852" w:rsidRDefault="003E4852" w:rsidP="003E4852">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3E4852" w:rsidTr="004E547A">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3E4852" w:rsidTr="004E547A">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3E4852" w:rsidTr="004E547A">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3E4852" w:rsidTr="004E547A">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3E4852" w:rsidTr="004E547A">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3E4852" w:rsidTr="004E547A">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453.17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77.14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118.06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4.15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46.99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49.21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8.94</w:t>
            </w: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58.84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0.03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8.94</w:t>
            </w: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50.86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5.27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15.64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0.71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54.11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3.19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1.22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11.58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45.98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4.09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2.75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7.64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p>
        </w:tc>
      </w:tr>
      <w:tr w:rsidR="003E4852" w:rsidTr="004E547A">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453.17</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86.08</w:t>
            </w:r>
          </w:p>
        </w:tc>
      </w:tr>
    </w:tbl>
    <w:p w:rsidR="003E4852" w:rsidRDefault="003E4852" w:rsidP="003E4852">
      <w:r>
        <w:br w:type="page"/>
      </w:r>
    </w:p>
    <w:tbl>
      <w:tblPr>
        <w:tblW w:w="9220" w:type="dxa"/>
        <w:jc w:val="center"/>
        <w:tblCellMar>
          <w:left w:w="0" w:type="dxa"/>
          <w:right w:w="0" w:type="dxa"/>
        </w:tblCellMar>
        <w:tblLook w:val="04A0"/>
      </w:tblPr>
      <w:tblGrid>
        <w:gridCol w:w="1267"/>
        <w:gridCol w:w="1686"/>
        <w:gridCol w:w="1565"/>
        <w:gridCol w:w="1565"/>
        <w:gridCol w:w="1565"/>
        <w:gridCol w:w="1572"/>
      </w:tblGrid>
      <w:tr w:rsidR="003E4852" w:rsidTr="004E547A">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3E4852" w:rsidTr="004E547A">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3E4852" w:rsidTr="004E547A">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3E4852" w:rsidTr="004E547A">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3E4852" w:rsidTr="004E547A">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3E4852" w:rsidTr="004E547A">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0.3</w:t>
            </w:r>
          </w:p>
        </w:tc>
      </w:tr>
      <w:tr w:rsidR="003E4852" w:rsidTr="004E547A">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3E4852" w:rsidTr="004E547A">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3E4852" w:rsidTr="004E547A">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3E4852" w:rsidTr="004E547A">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0.1</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0.1</w:t>
            </w:r>
          </w:p>
        </w:tc>
      </w:tr>
    </w:tbl>
    <w:p w:rsidR="003E4852" w:rsidRDefault="003E4852" w:rsidP="003E4852">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948" w:type="dxa"/>
        <w:jc w:val="center"/>
        <w:tblLayout w:type="fixed"/>
        <w:tblCellMar>
          <w:left w:w="0" w:type="dxa"/>
          <w:right w:w="0" w:type="dxa"/>
        </w:tblCellMar>
        <w:tblLook w:val="04A0"/>
      </w:tblPr>
      <w:tblGrid>
        <w:gridCol w:w="718"/>
        <w:gridCol w:w="51"/>
        <w:gridCol w:w="50"/>
        <w:gridCol w:w="3650"/>
        <w:gridCol w:w="868"/>
        <w:gridCol w:w="898"/>
        <w:gridCol w:w="913"/>
        <w:gridCol w:w="958"/>
        <w:gridCol w:w="943"/>
        <w:gridCol w:w="899"/>
      </w:tblGrid>
      <w:tr w:rsidR="003E4852" w:rsidTr="004E547A">
        <w:trPr>
          <w:trHeight w:val="780"/>
          <w:jc w:val="center"/>
        </w:trPr>
        <w:tc>
          <w:tcPr>
            <w:tcW w:w="9948" w:type="dxa"/>
            <w:gridSpan w:val="10"/>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3E4852" w:rsidTr="004E547A">
        <w:trPr>
          <w:trHeight w:val="255"/>
          <w:jc w:val="center"/>
        </w:trPr>
        <w:tc>
          <w:tcPr>
            <w:tcW w:w="71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657"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1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846"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3E4852" w:rsidTr="004E547A">
        <w:trPr>
          <w:trHeight w:val="255"/>
          <w:jc w:val="center"/>
        </w:trPr>
        <w:tc>
          <w:tcPr>
            <w:tcW w:w="718"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41"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3657"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15"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1846" w:type="dxa"/>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308"/>
          <w:jc w:val="center"/>
        </w:trPr>
        <w:tc>
          <w:tcPr>
            <w:tcW w:w="445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8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90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282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90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3E4852" w:rsidTr="004E547A">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65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8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9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9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9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12"/>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365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12"/>
          <w:jc w:val="center"/>
        </w:trPr>
        <w:tc>
          <w:tcPr>
            <w:tcW w:w="80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365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8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0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c>
          <w:tcPr>
            <w:tcW w:w="90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center"/>
              <w:rPr>
                <w:rFonts w:ascii="宋体" w:eastAsia="宋体" w:hAnsi="宋体" w:cs="宋体"/>
                <w:color w:val="000000"/>
                <w:sz w:val="22"/>
              </w:rPr>
            </w:pPr>
          </w:p>
        </w:tc>
      </w:tr>
      <w:tr w:rsidR="003E4852" w:rsidTr="004E547A">
        <w:trPr>
          <w:trHeight w:val="308"/>
          <w:jc w:val="center"/>
        </w:trPr>
        <w:tc>
          <w:tcPr>
            <w:tcW w:w="445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3E4852" w:rsidTr="004E547A">
        <w:trPr>
          <w:trHeight w:val="308"/>
          <w:jc w:val="center"/>
        </w:trPr>
        <w:tc>
          <w:tcPr>
            <w:tcW w:w="445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2145.99</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814.35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814.35</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r>
              <w:rPr>
                <w:rFonts w:ascii="宋体" w:eastAsia="宋体" w:hAnsi="宋体" w:cs="宋体" w:hint="eastAsia"/>
                <w:b/>
                <w:color w:val="000000"/>
                <w:sz w:val="22"/>
              </w:rPr>
              <w:t>1331.64</w:t>
            </w:r>
          </w:p>
        </w:tc>
      </w:tr>
      <w:tr w:rsidR="003E4852" w:rsidTr="004E547A">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w:t>
            </w:r>
          </w:p>
        </w:tc>
        <w:tc>
          <w:tcPr>
            <w:tcW w:w="3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城乡社区支出</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2145.99</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814.35</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814.35</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1331.64</w:t>
            </w:r>
          </w:p>
        </w:tc>
      </w:tr>
      <w:tr w:rsidR="003E4852" w:rsidTr="004E547A">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w:t>
            </w:r>
          </w:p>
        </w:tc>
        <w:tc>
          <w:tcPr>
            <w:tcW w:w="3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国有土地使用权出让收入及对应专项债务收入安排的支出</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1014.06</w:t>
            </w:r>
          </w:p>
        </w:tc>
      </w:tr>
      <w:tr w:rsidR="003E4852" w:rsidTr="004E547A">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2120802</w:t>
            </w:r>
          </w:p>
        </w:tc>
        <w:tc>
          <w:tcPr>
            <w:tcW w:w="3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土地开发支出</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1448.33</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434.28</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1014.06</w:t>
            </w:r>
          </w:p>
        </w:tc>
      </w:tr>
      <w:tr w:rsidR="003E4852" w:rsidTr="004E547A">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w:t>
            </w:r>
          </w:p>
        </w:tc>
        <w:tc>
          <w:tcPr>
            <w:tcW w:w="3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城市基础设施配套费安排的支出</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697.65</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317.58</w:t>
            </w:r>
          </w:p>
        </w:tc>
      </w:tr>
      <w:tr w:rsidR="003E4852" w:rsidTr="004E547A">
        <w:trPr>
          <w:trHeight w:val="308"/>
          <w:jc w:val="center"/>
        </w:trPr>
        <w:tc>
          <w:tcPr>
            <w:tcW w:w="800"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2121399</w:t>
            </w:r>
          </w:p>
        </w:tc>
        <w:tc>
          <w:tcPr>
            <w:tcW w:w="36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r>
              <w:rPr>
                <w:rFonts w:ascii="宋体" w:eastAsia="宋体" w:hAnsi="宋体" w:cs="宋体" w:hint="eastAsia"/>
                <w:color w:val="000000"/>
                <w:sz w:val="22"/>
              </w:rPr>
              <w:t>其他城市基础设施配套费安排的支出</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697.65</w:t>
            </w:r>
          </w:p>
        </w:tc>
        <w:tc>
          <w:tcPr>
            <w:tcW w:w="9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9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380.07</w:t>
            </w:r>
          </w:p>
        </w:tc>
        <w:tc>
          <w:tcPr>
            <w:tcW w:w="9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r>
              <w:rPr>
                <w:rFonts w:ascii="宋体" w:eastAsia="宋体" w:hAnsi="宋体" w:cs="宋体" w:hint="eastAsia"/>
                <w:color w:val="000000"/>
                <w:sz w:val="22"/>
              </w:rPr>
              <w:t>317.58</w:t>
            </w:r>
          </w:p>
        </w:tc>
      </w:tr>
    </w:tbl>
    <w:p w:rsidR="003E4852" w:rsidRDefault="003E4852" w:rsidP="003E4852">
      <w:r>
        <w:br w:type="page"/>
      </w:r>
    </w:p>
    <w:tbl>
      <w:tblPr>
        <w:tblW w:w="9917" w:type="dxa"/>
        <w:jc w:val="center"/>
        <w:tblCellMar>
          <w:left w:w="0" w:type="dxa"/>
          <w:right w:w="0" w:type="dxa"/>
        </w:tblCellMar>
        <w:tblLook w:val="04A0"/>
      </w:tblPr>
      <w:tblGrid>
        <w:gridCol w:w="1169"/>
        <w:gridCol w:w="67"/>
        <w:gridCol w:w="67"/>
        <w:gridCol w:w="4367"/>
        <w:gridCol w:w="872"/>
        <w:gridCol w:w="1688"/>
        <w:gridCol w:w="1688"/>
      </w:tblGrid>
      <w:tr w:rsidR="003E4852" w:rsidTr="004E547A">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3E4852" w:rsidTr="004E547A">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3E4852" w:rsidTr="004E547A">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3E4852" w:rsidRDefault="003E4852" w:rsidP="004E547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3E4852" w:rsidTr="004E547A">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3E4852" w:rsidTr="004E547A">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3E4852" w:rsidTr="004E547A">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3E4852" w:rsidTr="004E547A">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b/>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r w:rsidR="003E4852" w:rsidTr="004E547A">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E4852" w:rsidRDefault="003E4852" w:rsidP="004E547A">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E4852" w:rsidRDefault="003E4852" w:rsidP="004E547A">
            <w:pPr>
              <w:jc w:val="right"/>
              <w:rPr>
                <w:rFonts w:ascii="宋体" w:eastAsia="宋体" w:hAnsi="宋体" w:cs="宋体"/>
                <w:color w:val="000000"/>
                <w:sz w:val="22"/>
              </w:rPr>
            </w:pPr>
          </w:p>
        </w:tc>
      </w:tr>
    </w:tbl>
    <w:p w:rsidR="003E4852" w:rsidRDefault="003E4852" w:rsidP="003E4852">
      <w:r>
        <w:t>本部门本年度无支出情况，按要求空表列示。</w:t>
      </w:r>
      <w:r>
        <w:br w:type="page"/>
      </w:r>
    </w:p>
    <w:p w:rsidR="00780F0A" w:rsidRDefault="00662FAB">
      <w:r>
        <w:lastRenderedPageBreak/>
        <w:pict>
          <v:rect id="_x0000_s1027"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780F0A" w:rsidSect="00780F0A">
      <w:headerReference w:type="default" r:id="rId32"/>
      <w:footerReference w:type="default" r:id="rId33"/>
      <w:headerReference w:type="first" r:id="rId34"/>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76" w:rsidRDefault="00482976" w:rsidP="00780F0A">
      <w:r>
        <w:separator/>
      </w:r>
    </w:p>
  </w:endnote>
  <w:endnote w:type="continuationSeparator" w:id="0">
    <w:p w:rsidR="00482976" w:rsidRDefault="00482976" w:rsidP="0078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思源黑体 HW Bold">
    <w:altName w:val="黑体"/>
    <w:charset w:val="86"/>
    <w:family w:val="swiss"/>
    <w:pitch w:val="default"/>
    <w:sig w:usb0="00000000" w:usb1="00000000" w:usb2="00000016" w:usb3="00000000" w:csb0="002E0107"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4"/>
    </w:pPr>
    <w:r>
      <w:pict>
        <v:shapetype id="_x0000_t202" coordsize="21600,21600" o:spt="202" path="m,l,21600r21600,l21600,xe">
          <v:stroke joinstyle="miter"/>
          <v:path gradientshapeok="t" o:connecttype="rect"/>
        </v:shapetype>
        <v:shape id="_x0000_s2139" type="#_x0000_t202" style="position:absolute;margin-left:205.45pt;margin-top:-18.75pt;width:30.15pt;height:31.45pt;z-index:252844032;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3E4852" w:rsidRDefault="00662FA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3E485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106B0">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0A" w:rsidRDefault="00662FAB">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780F0A" w:rsidRDefault="00662FA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5228AB">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106B0">
                  <w:rPr>
                    <w:rFonts w:ascii="Times New Roman" w:hAnsi="Times New Roman" w:cs="Times New Roman"/>
                    <w:noProof/>
                    <w:sz w:val="24"/>
                    <w:szCs w:val="24"/>
                  </w:rPr>
                  <w:t>- 33 -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4"/>
    </w:pPr>
    <w:r>
      <w:pict>
        <v:shapetype id="_x0000_t202" coordsize="21600,21600" o:spt="202" path="m,l,21600r21600,l21600,xe">
          <v:stroke joinstyle="miter"/>
          <v:path gradientshapeok="t" o:connecttype="rect"/>
        </v:shapetype>
        <v:shape id="_x0000_s2136" type="#_x0000_t202" style="position:absolute;margin-left:209.65pt;margin-top:-12.95pt;width:30.6pt;height:14.3pt;z-index:252840960;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3E4852" w:rsidRDefault="00662FA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3E485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106B0">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4"/>
    </w:pPr>
    <w:r>
      <w:pict>
        <v:shapetype id="_x0000_t202" coordsize="21600,21600" o:spt="202" path="m,l,21600r21600,l21600,xe">
          <v:stroke joinstyle="miter"/>
          <v:path gradientshapeok="t" o:connecttype="rect"/>
        </v:shapetype>
        <v:shape id="_x0000_s2137" type="#_x0000_t202" style="position:absolute;margin-left:206.55pt;margin-top:-22.45pt;width:34pt;height:35.15pt;z-index:252841984;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3E4852" w:rsidRDefault="00662FA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3E485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106B0">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4"/>
    </w:pPr>
    <w:r>
      <w:pict>
        <v:shapetype id="_x0000_t202" coordsize="21600,21600" o:spt="202" path="m,l,21600r21600,l21600,xe">
          <v:stroke joinstyle="miter"/>
          <v:path gradientshapeok="t" o:connecttype="rect"/>
        </v:shapetype>
        <v:shape id="_x0000_s2138" type="#_x0000_t202" style="position:absolute;margin-left:209.15pt;margin-top:-6pt;width:2in;height:18.7pt;z-index:252843008;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3E4852" w:rsidRDefault="00662FA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3E4852">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106B0">
                  <w:rPr>
                    <w:rFonts w:ascii="Times New Roman" w:hAnsi="Times New Roman" w:cs="Times New Roman"/>
                    <w:noProof/>
                    <w:sz w:val="24"/>
                    <w:szCs w:val="24"/>
                  </w:rPr>
                  <w:t>- 21 -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76" w:rsidRDefault="00482976" w:rsidP="00780F0A">
      <w:r>
        <w:separator/>
      </w:r>
    </w:p>
  </w:footnote>
  <w:footnote w:type="continuationSeparator" w:id="0">
    <w:p w:rsidR="00482976" w:rsidRDefault="00482976" w:rsidP="00780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5"/>
    </w:pPr>
    <w:r>
      <w:pict>
        <v:group id="_x0000_s2133" style="position:absolute;left:0;text-align:left;margin-left:0;margin-top:29.75pt;width:157.5pt;height:32pt;z-index:252839936;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134"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3E4852" w:rsidRDefault="003E4852">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v:textbox>
          </v:shape>
          <v:rect id="矩形 7" o:spid="_x0000_s2135"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129" style="position:absolute;left:0;text-align:left;margin-left:0;margin-top:0;width:596.5pt;height:58.95pt;z-index:252838912;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130"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131"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132"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0A" w:rsidRDefault="00662FAB">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780F0A" w:rsidRDefault="005228A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w:t>
                  </w:r>
                  <w:r>
                    <w:rPr>
                      <w:rFonts w:ascii="微软雅黑" w:eastAsia="微软雅黑" w:hAnsi="微软雅黑" w:cs="微软雅黑" w:hint="eastAsia"/>
                      <w:b/>
                      <w:bCs/>
                      <w:sz w:val="32"/>
                      <w:szCs w:val="40"/>
                    </w:rPr>
                    <w:t>年度部门决算报表</w:t>
                  </w:r>
                </w:p>
                <w:p w:rsidR="00780F0A" w:rsidRDefault="00780F0A"/>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0A" w:rsidRDefault="00662FAB">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780F0A" w:rsidRDefault="005228A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w:t>
                  </w:r>
                  <w:r>
                    <w:rPr>
                      <w:rFonts w:ascii="微软雅黑" w:eastAsia="微软雅黑" w:hAnsi="微软雅黑" w:cs="微软雅黑" w:hint="eastAsia"/>
                      <w:b/>
                      <w:bCs/>
                      <w:sz w:val="28"/>
                      <w:szCs w:val="36"/>
                    </w:rPr>
                    <w:t>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F0A" w:rsidRDefault="00662FAB">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780F0A" w:rsidRDefault="005228A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3E4852">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5"/>
    </w:pPr>
    <w:r>
      <w:pict>
        <v:group id="_x0000_s2115" style="position:absolute;left:0;text-align:left;margin-left:2.75pt;margin-top:46.95pt;width:596.85pt;height:32.8pt;z-index:252834816;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11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117"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118"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119" style="position:absolute;left:0;text-align:left;margin-left:1.95pt;margin-top:47.1pt;width:235.7pt;height:32pt;z-index:252835840;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120"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3E4852" w:rsidRDefault="003E4852">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 xml:space="preserve">第二部分  </w:t>
                  </w:r>
                  <w:r>
                    <w:rPr>
                      <w:rFonts w:ascii="微软雅黑" w:eastAsia="微软雅黑" w:hAnsi="微软雅黑" w:cs="微软雅黑" w:hint="eastAsia"/>
                      <w:b/>
                      <w:bCs/>
                      <w:sz w:val="32"/>
                      <w:szCs w:val="40"/>
                    </w:rPr>
                    <w:t>部门决算情况说明</w:t>
                  </w:r>
                </w:p>
              </w:txbxContent>
            </v:textbox>
          </v:shape>
          <v:rect id="矩形 7" o:spid="_x0000_s212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52" w:rsidRDefault="00662FAB">
    <w:pPr>
      <w:pStyle w:val="a5"/>
    </w:pPr>
    <w:r>
      <w:pict>
        <v:group id="_x0000_s2122" style="position:absolute;left:0;text-align:left;margin-left:0;margin-top:0;width:594.8pt;height:37.85pt;z-index:252836864;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123"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124"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125"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126" style="position:absolute;left:0;text-align:left;margin-left:-2.15pt;margin-top:47.15pt;width:235.7pt;height:32pt;z-index:252837888;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12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3E4852" w:rsidRDefault="003E4852">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 xml:space="preserve">第三部分  </w:t>
                  </w:r>
                  <w:r>
                    <w:rPr>
                      <w:rFonts w:ascii="微软雅黑" w:eastAsia="微软雅黑" w:hAnsi="微软雅黑" w:cs="微软雅黑" w:hint="eastAsia"/>
                      <w:b/>
                      <w:bCs/>
                      <w:sz w:val="32"/>
                      <w:szCs w:val="40"/>
                    </w:rPr>
                    <w:t>名词解释</w:t>
                  </w:r>
                </w:p>
              </w:txbxContent>
            </v:textbox>
          </v:shape>
          <v:rect id="矩形 7" o:spid="_x0000_s2128"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34DE78E"/>
    <w:multiLevelType w:val="singleLevel"/>
    <w:tmpl w:val="734DE78E"/>
    <w:lvl w:ilvl="0">
      <w:start w:val="2"/>
      <w:numFmt w:val="chineseCounting"/>
      <w:suff w:val="nothing"/>
      <w:lvlText w:val="%1、"/>
      <w:lvlJc w:val="left"/>
      <w:rPr>
        <w:rFonts w:hint="eastAsia"/>
      </w:rPr>
    </w:lvl>
  </w:abstractNum>
  <w:abstractNum w:abstractNumId="4">
    <w:nsid w:val="78C1413D"/>
    <w:multiLevelType w:val="singleLevel"/>
    <w:tmpl w:val="78C1413D"/>
    <w:lvl w:ilvl="0">
      <w:start w:val="1"/>
      <w:numFmt w:val="decimal"/>
      <w:suff w:val="space"/>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3E4852"/>
    <w:rsid w:val="00442CC2"/>
    <w:rsid w:val="00446244"/>
    <w:rsid w:val="00473C20"/>
    <w:rsid w:val="00482976"/>
    <w:rsid w:val="004D61CB"/>
    <w:rsid w:val="005011D6"/>
    <w:rsid w:val="00503F2E"/>
    <w:rsid w:val="005106B0"/>
    <w:rsid w:val="005228AB"/>
    <w:rsid w:val="00552226"/>
    <w:rsid w:val="00566120"/>
    <w:rsid w:val="00582E6D"/>
    <w:rsid w:val="005954D5"/>
    <w:rsid w:val="005A53FA"/>
    <w:rsid w:val="005D1293"/>
    <w:rsid w:val="00644D5F"/>
    <w:rsid w:val="00662FAB"/>
    <w:rsid w:val="006727AD"/>
    <w:rsid w:val="00691425"/>
    <w:rsid w:val="006A516E"/>
    <w:rsid w:val="006B0830"/>
    <w:rsid w:val="00716E2B"/>
    <w:rsid w:val="00770F18"/>
    <w:rsid w:val="00773B74"/>
    <w:rsid w:val="00780F0A"/>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lsdException w:name="footer" w:semiHidden="0" w:qFormat="1"/>
    <w:lsdException w:name="caption" w:uiPriority="35" w:qFormat="1"/>
    <w:lsdException w:name="page number" w:uiPriority="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0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780F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780F0A"/>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780F0A"/>
    <w:pPr>
      <w:tabs>
        <w:tab w:val="center" w:pos="4153"/>
        <w:tab w:val="right" w:pos="8306"/>
      </w:tabs>
      <w:snapToGrid w:val="0"/>
      <w:jc w:val="left"/>
    </w:pPr>
    <w:rPr>
      <w:sz w:val="18"/>
      <w:szCs w:val="18"/>
    </w:rPr>
  </w:style>
  <w:style w:type="paragraph" w:styleId="a5">
    <w:name w:val="header"/>
    <w:basedOn w:val="a"/>
    <w:link w:val="Char0"/>
    <w:uiPriority w:val="99"/>
    <w:unhideWhenUsed/>
    <w:rsid w:val="00780F0A"/>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780F0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780F0A"/>
    <w:rPr>
      <w:rFonts w:asciiTheme="minorHAnsi" w:eastAsiaTheme="minorEastAsia" w:hAnsiTheme="minorHAnsi"/>
      <w:sz w:val="18"/>
      <w:szCs w:val="18"/>
    </w:rPr>
  </w:style>
  <w:style w:type="character" w:customStyle="1" w:styleId="Char">
    <w:name w:val="页脚 Char"/>
    <w:basedOn w:val="a0"/>
    <w:link w:val="a4"/>
    <w:uiPriority w:val="99"/>
    <w:qFormat/>
    <w:rsid w:val="00780F0A"/>
    <w:rPr>
      <w:sz w:val="18"/>
      <w:szCs w:val="18"/>
    </w:rPr>
  </w:style>
  <w:style w:type="paragraph" w:customStyle="1" w:styleId="10">
    <w:name w:val="列出段落1"/>
    <w:basedOn w:val="a"/>
    <w:uiPriority w:val="1"/>
    <w:qFormat/>
    <w:rsid w:val="00780F0A"/>
    <w:pPr>
      <w:spacing w:before="2"/>
      <w:ind w:left="119" w:right="434" w:firstLine="643"/>
    </w:pPr>
    <w:rPr>
      <w:rFonts w:ascii="仿宋_GB2312" w:eastAsia="仿宋_GB2312" w:hAnsi="仿宋_GB2312" w:cs="仿宋_GB2312"/>
      <w:lang w:val="zh-CN" w:bidi="zh-CN"/>
    </w:rPr>
  </w:style>
  <w:style w:type="paragraph" w:styleId="a7">
    <w:name w:val="footnote text"/>
    <w:basedOn w:val="a"/>
    <w:link w:val="Char1"/>
    <w:qFormat/>
    <w:rsid w:val="003E4852"/>
    <w:pPr>
      <w:snapToGrid w:val="0"/>
      <w:jc w:val="left"/>
    </w:pPr>
    <w:rPr>
      <w:sz w:val="18"/>
      <w:szCs w:val="18"/>
    </w:rPr>
  </w:style>
  <w:style w:type="character" w:customStyle="1" w:styleId="Char1">
    <w:name w:val="脚注文本 Char"/>
    <w:basedOn w:val="a0"/>
    <w:link w:val="a7"/>
    <w:rsid w:val="003E4852"/>
    <w:rPr>
      <w:rFonts w:asciiTheme="minorHAnsi" w:eastAsiaTheme="minorEastAsia" w:hAnsiTheme="minorHAnsi" w:cstheme="minorBidi"/>
      <w:kern w:val="2"/>
      <w:sz w:val="18"/>
      <w:szCs w:val="18"/>
    </w:rPr>
  </w:style>
  <w:style w:type="paragraph" w:styleId="a8">
    <w:name w:val="Normal (Web)"/>
    <w:basedOn w:val="a"/>
    <w:uiPriority w:val="99"/>
    <w:semiHidden/>
    <w:unhideWhenUsed/>
    <w:qFormat/>
    <w:rsid w:val="003E4852"/>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qFormat/>
    <w:rsid w:val="003E48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gif"/><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DC1B4-1816-4A54-A876-4FDB6EC3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1</TotalTime>
  <Pages>33</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3</cp:revision>
  <cp:lastPrinted>2020-07-30T02:37:00Z</cp:lastPrinted>
  <dcterms:created xsi:type="dcterms:W3CDTF">2020-08-06T14:22:00Z</dcterms:created>
  <dcterms:modified xsi:type="dcterms:W3CDTF">2020-08-06T14:59:00Z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