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唐山市芦台经济开发区老干部局</w:t>
      </w:r>
    </w:p>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关于</w:t>
      </w:r>
      <w:r w:rsidR="00230628">
        <w:rPr>
          <w:rFonts w:ascii="宋体" w:eastAsia="宋体" w:hAnsi="宋体" w:cs="Tahoma" w:hint="eastAsia"/>
          <w:b/>
          <w:bCs/>
          <w:color w:val="333333"/>
          <w:kern w:val="0"/>
          <w:sz w:val="44"/>
          <w:szCs w:val="44"/>
        </w:rPr>
        <w:t>20</w:t>
      </w:r>
      <w:r w:rsidR="001B5912">
        <w:rPr>
          <w:rFonts w:ascii="宋体" w:eastAsia="宋体" w:hAnsi="宋体" w:cs="Tahoma" w:hint="eastAsia"/>
          <w:b/>
          <w:bCs/>
          <w:color w:val="333333"/>
          <w:kern w:val="0"/>
          <w:sz w:val="44"/>
          <w:szCs w:val="44"/>
        </w:rPr>
        <w:t>20</w:t>
      </w:r>
      <w:r w:rsidRPr="00393735">
        <w:rPr>
          <w:rFonts w:ascii="宋体" w:eastAsia="宋体" w:hAnsi="宋体" w:cs="Tahoma" w:hint="eastAsia"/>
          <w:b/>
          <w:bCs/>
          <w:color w:val="333333"/>
          <w:kern w:val="0"/>
          <w:sz w:val="44"/>
          <w:szCs w:val="44"/>
        </w:rPr>
        <w:t>年部门预算信息公开的说明</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一、部门职责、机构设置等基本情况</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1、部门职责</w:t>
      </w:r>
    </w:p>
    <w:p w:rsidR="0069730B" w:rsidRPr="0069730B" w:rsidRDefault="0069730B" w:rsidP="0069730B">
      <w:pPr>
        <w:widowControl/>
        <w:shd w:val="clear" w:color="auto" w:fill="FFFFFF"/>
        <w:spacing w:line="293" w:lineRule="atLeast"/>
        <w:ind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宣传、贯彻、落实党的老干部工作的政策和规定，进一步加强老干部的思想政治工作、离退休党支部建设；落实离休干部的“两个待遇”即（政治待遇、生活待遇）；研究和解决老干部工作中出现的新情况和新问题；建立和完善离休干部离休费保障机制，医药费保障机制和财政保障机制；落实离退休干部特困帮扶制度；负责组织离退休干部的健康疗养和参观考察活动；负责离退休干部文件传阅和情况通报等工作；负责离退休干部重大节日、生日期间的慰问活动；负责离退休干部住院探望和善后处理工作；抓好老干部活动中心工作，办好老年大学，组织离退休干部开展健康有益的文体活动；协助区党工委、管委会抓好全区关心下一代工作；做好机关党建工作，积极开展党组织活动。</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2、机构设置</w:t>
      </w:r>
    </w:p>
    <w:tbl>
      <w:tblPr>
        <w:tblW w:w="8257" w:type="dxa"/>
        <w:jc w:val="center"/>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76"/>
        <w:gridCol w:w="1250"/>
        <w:gridCol w:w="1407"/>
        <w:gridCol w:w="2324"/>
      </w:tblGrid>
      <w:tr w:rsidR="00393735" w:rsidTr="00393735">
        <w:trPr>
          <w:trHeight w:val="300"/>
          <w:tblHeader/>
          <w:jc w:val="center"/>
        </w:trPr>
        <w:tc>
          <w:tcPr>
            <w:tcW w:w="3276"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250"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407"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324"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393735" w:rsidTr="00393735">
        <w:trPr>
          <w:trHeight w:val="300"/>
          <w:tblHeader/>
          <w:jc w:val="center"/>
        </w:trPr>
        <w:tc>
          <w:tcPr>
            <w:tcW w:w="3276" w:type="dxa"/>
            <w:vMerge/>
            <w:vAlign w:val="center"/>
          </w:tcPr>
          <w:p w:rsidR="00393735" w:rsidRDefault="00393735" w:rsidP="00CB4BB2">
            <w:pPr>
              <w:spacing w:line="300" w:lineRule="exact"/>
              <w:jc w:val="left"/>
              <w:outlineLvl w:val="0"/>
              <w:rPr>
                <w:rFonts w:ascii="宋体" w:hAnsi="宋体" w:cs="宋体"/>
                <w:sz w:val="32"/>
                <w:szCs w:val="32"/>
              </w:rPr>
            </w:pPr>
          </w:p>
        </w:tc>
        <w:tc>
          <w:tcPr>
            <w:tcW w:w="1250" w:type="dxa"/>
            <w:vMerge/>
            <w:vAlign w:val="center"/>
          </w:tcPr>
          <w:p w:rsidR="00393735" w:rsidRDefault="00393735" w:rsidP="00CB4BB2">
            <w:pPr>
              <w:spacing w:line="300" w:lineRule="exact"/>
              <w:jc w:val="left"/>
              <w:outlineLvl w:val="0"/>
              <w:rPr>
                <w:rFonts w:ascii="宋体" w:hAnsi="宋体" w:cs="宋体"/>
                <w:sz w:val="32"/>
                <w:szCs w:val="32"/>
              </w:rPr>
            </w:pPr>
          </w:p>
        </w:tc>
        <w:tc>
          <w:tcPr>
            <w:tcW w:w="1407" w:type="dxa"/>
            <w:vMerge/>
            <w:vAlign w:val="center"/>
          </w:tcPr>
          <w:p w:rsidR="00393735" w:rsidRDefault="00393735" w:rsidP="00CB4BB2">
            <w:pPr>
              <w:spacing w:line="300" w:lineRule="exact"/>
              <w:jc w:val="left"/>
              <w:outlineLvl w:val="0"/>
              <w:rPr>
                <w:rFonts w:ascii="宋体" w:hAnsi="宋体" w:cs="宋体"/>
                <w:sz w:val="32"/>
                <w:szCs w:val="32"/>
              </w:rPr>
            </w:pPr>
          </w:p>
        </w:tc>
        <w:tc>
          <w:tcPr>
            <w:tcW w:w="2324" w:type="dxa"/>
            <w:vMerge/>
            <w:vAlign w:val="center"/>
          </w:tcPr>
          <w:p w:rsidR="00393735" w:rsidRDefault="00393735" w:rsidP="00CB4BB2">
            <w:pPr>
              <w:spacing w:line="300" w:lineRule="exact"/>
              <w:jc w:val="left"/>
              <w:outlineLvl w:val="0"/>
              <w:rPr>
                <w:rFonts w:ascii="宋体" w:hAnsi="宋体" w:cs="宋体"/>
                <w:sz w:val="32"/>
                <w:szCs w:val="32"/>
              </w:rPr>
            </w:pPr>
          </w:p>
        </w:tc>
      </w:tr>
      <w:tr w:rsidR="00393735" w:rsidTr="00393735">
        <w:trPr>
          <w:trHeight w:val="227"/>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综合办公室</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股级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r w:rsidR="00393735" w:rsidTr="00393735">
        <w:trPr>
          <w:trHeight w:val="300"/>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关工委</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副科级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bl>
    <w:p w:rsidR="0069730B" w:rsidRPr="0069730B" w:rsidRDefault="0069730B" w:rsidP="00393735">
      <w:pPr>
        <w:widowControl/>
        <w:shd w:val="clear" w:color="auto" w:fill="FFFFFF"/>
        <w:spacing w:line="293" w:lineRule="atLeast"/>
        <w:ind w:firstLineChars="150"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老干部局共设</w:t>
      </w:r>
      <w:r w:rsidR="00393735">
        <w:rPr>
          <w:rFonts w:ascii="仿宋" w:eastAsia="仿宋" w:hAnsi="仿宋" w:cs="Tahoma" w:hint="eastAsia"/>
          <w:color w:val="000000"/>
          <w:kern w:val="0"/>
          <w:sz w:val="32"/>
          <w:szCs w:val="32"/>
        </w:rPr>
        <w:t>综合</w:t>
      </w:r>
      <w:r w:rsidRPr="0069730B">
        <w:rPr>
          <w:rFonts w:ascii="仿宋" w:eastAsia="仿宋" w:hAnsi="仿宋" w:cs="Tahoma" w:hint="eastAsia"/>
          <w:color w:val="000000"/>
          <w:kern w:val="0"/>
          <w:sz w:val="32"/>
          <w:szCs w:val="32"/>
        </w:rPr>
        <w:t>办公室、关工委两个科室。单位性质：行政，在职人员</w:t>
      </w:r>
      <w:r w:rsidR="00230628">
        <w:rPr>
          <w:rFonts w:ascii="仿宋" w:eastAsia="仿宋" w:hAnsi="仿宋" w:cs="Tahoma" w:hint="eastAsia"/>
          <w:color w:val="000000"/>
          <w:kern w:val="0"/>
          <w:sz w:val="32"/>
          <w:szCs w:val="32"/>
        </w:rPr>
        <w:t>4</w:t>
      </w:r>
      <w:r w:rsidRPr="0069730B">
        <w:rPr>
          <w:rFonts w:ascii="仿宋" w:eastAsia="仿宋" w:hAnsi="仿宋" w:cs="Tahoma" w:hint="eastAsia"/>
          <w:color w:val="000000"/>
          <w:kern w:val="0"/>
          <w:sz w:val="32"/>
          <w:szCs w:val="32"/>
        </w:rPr>
        <w:t>人，退休人员</w:t>
      </w:r>
      <w:r w:rsidR="00230628">
        <w:rPr>
          <w:rFonts w:ascii="仿宋" w:eastAsia="仿宋" w:hAnsi="仿宋" w:cs="Tahoma" w:hint="eastAsia"/>
          <w:color w:val="000000"/>
          <w:kern w:val="0"/>
          <w:sz w:val="32"/>
          <w:szCs w:val="32"/>
        </w:rPr>
        <w:t>5</w:t>
      </w:r>
      <w:r w:rsidRPr="0069730B">
        <w:rPr>
          <w:rFonts w:ascii="仿宋" w:eastAsia="仿宋" w:hAnsi="仿宋" w:cs="Tahoma" w:hint="eastAsia"/>
          <w:color w:val="000000"/>
          <w:kern w:val="0"/>
          <w:sz w:val="32"/>
          <w:szCs w:val="32"/>
        </w:rPr>
        <w:t>人，经费来源为财政拨款。</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二、部门预算安排总体情况</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lastRenderedPageBreak/>
        <w:t>1、收入说明</w:t>
      </w:r>
    </w:p>
    <w:p w:rsidR="0069730B" w:rsidRPr="00DA05A2" w:rsidRDefault="001B5912" w:rsidP="00DA05A2">
      <w:pPr>
        <w:ind w:firstLineChars="200" w:firstLine="640"/>
        <w:jc w:val="left"/>
        <w:rPr>
          <w:rFonts w:ascii="Times New Roman" w:eastAsia="宋体" w:hAnsi="Times New Roman" w:cs="Times New Roman"/>
          <w:kern w:val="0"/>
          <w:sz w:val="22"/>
        </w:rPr>
      </w:pPr>
      <w:r>
        <w:rPr>
          <w:rFonts w:ascii="仿宋" w:eastAsia="仿宋" w:hAnsi="仿宋" w:cs="Tahoma" w:hint="eastAsia"/>
          <w:color w:val="000000"/>
          <w:kern w:val="0"/>
          <w:sz w:val="32"/>
          <w:szCs w:val="32"/>
        </w:rPr>
        <w:t>2020</w:t>
      </w:r>
      <w:r w:rsidR="0069730B" w:rsidRPr="0069730B">
        <w:rPr>
          <w:rFonts w:ascii="仿宋" w:eastAsia="仿宋" w:hAnsi="仿宋" w:cs="Tahoma" w:hint="eastAsia"/>
          <w:color w:val="000000"/>
          <w:kern w:val="0"/>
          <w:sz w:val="32"/>
          <w:szCs w:val="32"/>
        </w:rPr>
        <w:t>年部门预算收入</w:t>
      </w:r>
      <w:r w:rsidRPr="001B5912">
        <w:rPr>
          <w:rFonts w:ascii="仿宋" w:eastAsia="仿宋" w:hAnsi="仿宋" w:cs="Times New Roman"/>
          <w:kern w:val="0"/>
          <w:sz w:val="32"/>
          <w:szCs w:val="32"/>
        </w:rPr>
        <w:t>166.60</w:t>
      </w:r>
      <w:r w:rsidR="0069730B" w:rsidRPr="0069730B">
        <w:rPr>
          <w:rFonts w:ascii="仿宋" w:eastAsia="仿宋" w:hAnsi="仿宋" w:cs="Tahoma" w:hint="eastAsia"/>
          <w:color w:val="000000"/>
          <w:kern w:val="0"/>
          <w:sz w:val="32"/>
          <w:szCs w:val="32"/>
        </w:rPr>
        <w:t>万元，全部为一般公共预算收入。</w:t>
      </w:r>
    </w:p>
    <w:p w:rsidR="0069730B" w:rsidRPr="0069730B" w:rsidRDefault="0069730B" w:rsidP="006B5C1E">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2、支出说明</w:t>
      </w:r>
    </w:p>
    <w:p w:rsidR="00DA05A2" w:rsidRDefault="001B5912" w:rsidP="00DA05A2">
      <w:pPr>
        <w:widowControl/>
        <w:shd w:val="clear" w:color="auto" w:fill="FFFFFF"/>
        <w:spacing w:line="293" w:lineRule="atLeast"/>
        <w:ind w:firstLineChars="200" w:firstLine="640"/>
        <w:jc w:val="left"/>
        <w:outlineLvl w:val="0"/>
        <w:rPr>
          <w:rFonts w:ascii="仿宋" w:eastAsia="仿宋" w:hAnsi="仿宋" w:cs="Tahoma"/>
          <w:color w:val="000000"/>
          <w:kern w:val="0"/>
          <w:sz w:val="32"/>
          <w:szCs w:val="32"/>
        </w:rPr>
      </w:pPr>
      <w:r>
        <w:rPr>
          <w:rFonts w:ascii="仿宋" w:eastAsia="仿宋" w:hAnsi="仿宋" w:cs="Tahoma" w:hint="eastAsia"/>
          <w:color w:val="000000"/>
          <w:kern w:val="0"/>
          <w:sz w:val="32"/>
          <w:szCs w:val="32"/>
        </w:rPr>
        <w:t>2020</w:t>
      </w:r>
      <w:r w:rsidR="00DA05A2" w:rsidRPr="00DA05A2">
        <w:rPr>
          <w:rFonts w:ascii="仿宋" w:eastAsia="仿宋" w:hAnsi="仿宋" w:cs="Tahoma" w:hint="eastAsia"/>
          <w:color w:val="000000"/>
          <w:kern w:val="0"/>
          <w:sz w:val="32"/>
          <w:szCs w:val="32"/>
        </w:rPr>
        <w:t>年部门预算支出</w:t>
      </w:r>
      <w:r w:rsidRPr="001B5912">
        <w:rPr>
          <w:rFonts w:ascii="仿宋" w:eastAsia="仿宋" w:hAnsi="仿宋" w:cs="Tahoma"/>
          <w:color w:val="000000"/>
          <w:kern w:val="0"/>
          <w:sz w:val="32"/>
          <w:szCs w:val="32"/>
        </w:rPr>
        <w:t>166.60</w:t>
      </w:r>
      <w:r w:rsidR="00DA05A2" w:rsidRPr="00DA05A2">
        <w:rPr>
          <w:rFonts w:ascii="仿宋" w:eastAsia="仿宋" w:hAnsi="仿宋" w:cs="Tahoma" w:hint="eastAsia"/>
          <w:color w:val="000000"/>
          <w:kern w:val="0"/>
          <w:sz w:val="32"/>
          <w:szCs w:val="32"/>
        </w:rPr>
        <w:t>万元，其中人员经费</w:t>
      </w:r>
      <w:r w:rsidRPr="001B5912">
        <w:rPr>
          <w:rFonts w:ascii="仿宋" w:eastAsia="仿宋" w:hAnsi="仿宋" w:cs="Tahoma"/>
          <w:color w:val="000000"/>
          <w:kern w:val="0"/>
          <w:sz w:val="32"/>
          <w:szCs w:val="32"/>
        </w:rPr>
        <w:t>66.88</w:t>
      </w:r>
      <w:r w:rsidR="00DA05A2" w:rsidRPr="00DA05A2">
        <w:rPr>
          <w:rFonts w:ascii="仿宋" w:eastAsia="仿宋" w:hAnsi="仿宋" w:cs="Tahoma" w:hint="eastAsia"/>
          <w:color w:val="000000"/>
          <w:kern w:val="0"/>
          <w:sz w:val="32"/>
          <w:szCs w:val="32"/>
        </w:rPr>
        <w:t>万元，正常公用经费</w:t>
      </w:r>
      <w:r w:rsidRPr="001B5912">
        <w:rPr>
          <w:rFonts w:ascii="仿宋" w:eastAsia="仿宋" w:hAnsi="仿宋" w:cs="Tahoma"/>
          <w:color w:val="000000"/>
          <w:kern w:val="0"/>
          <w:sz w:val="32"/>
          <w:szCs w:val="32"/>
        </w:rPr>
        <w:t>4.10</w:t>
      </w:r>
      <w:r w:rsidR="00DA05A2" w:rsidRPr="00DA05A2">
        <w:rPr>
          <w:rFonts w:ascii="仿宋" w:eastAsia="仿宋" w:hAnsi="仿宋" w:cs="Tahoma" w:hint="eastAsia"/>
          <w:color w:val="000000"/>
          <w:kern w:val="0"/>
          <w:sz w:val="32"/>
          <w:szCs w:val="32"/>
        </w:rPr>
        <w:t>万元，项目支出95.62万元。</w:t>
      </w:r>
    </w:p>
    <w:p w:rsidR="0069730B" w:rsidRPr="0069730B" w:rsidRDefault="0069730B" w:rsidP="00DA05A2">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3、比上年增减情况</w:t>
      </w:r>
    </w:p>
    <w:p w:rsidR="0069730B" w:rsidRPr="0069730B" w:rsidRDefault="001B5912"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Pr>
          <w:rFonts w:ascii="仿宋" w:eastAsia="仿宋" w:hAnsi="仿宋" w:cs="Tahoma" w:hint="eastAsia"/>
          <w:color w:val="000000"/>
          <w:kern w:val="0"/>
          <w:sz w:val="32"/>
          <w:szCs w:val="32"/>
        </w:rPr>
        <w:t>2020</w:t>
      </w:r>
      <w:r w:rsidR="0069730B" w:rsidRPr="0069730B">
        <w:rPr>
          <w:rFonts w:ascii="仿宋" w:eastAsia="仿宋" w:hAnsi="仿宋" w:cs="Tahoma" w:hint="eastAsia"/>
          <w:color w:val="000000"/>
          <w:kern w:val="0"/>
          <w:sz w:val="32"/>
          <w:szCs w:val="32"/>
        </w:rPr>
        <w:t>年部门预算较</w:t>
      </w:r>
      <w:r>
        <w:rPr>
          <w:rFonts w:ascii="仿宋" w:eastAsia="仿宋" w:hAnsi="仿宋" w:cs="Tahoma" w:hint="eastAsia"/>
          <w:color w:val="000000"/>
          <w:kern w:val="0"/>
          <w:sz w:val="32"/>
          <w:szCs w:val="32"/>
        </w:rPr>
        <w:t>2019</w:t>
      </w:r>
      <w:r w:rsidR="0069730B" w:rsidRPr="0069730B">
        <w:rPr>
          <w:rFonts w:ascii="仿宋" w:eastAsia="仿宋" w:hAnsi="仿宋" w:cs="Tahoma" w:hint="eastAsia"/>
          <w:color w:val="000000"/>
          <w:kern w:val="0"/>
          <w:sz w:val="32"/>
          <w:szCs w:val="32"/>
        </w:rPr>
        <w:t>年</w:t>
      </w:r>
      <w:r w:rsidR="00AD101C">
        <w:rPr>
          <w:rFonts w:ascii="仿宋" w:eastAsia="仿宋" w:hAnsi="仿宋" w:cs="Tahoma" w:hint="eastAsia"/>
          <w:color w:val="000000"/>
          <w:kern w:val="0"/>
          <w:sz w:val="32"/>
          <w:szCs w:val="32"/>
        </w:rPr>
        <w:t>增加2.88</w:t>
      </w:r>
      <w:r w:rsidR="0069730B" w:rsidRPr="0069730B">
        <w:rPr>
          <w:rFonts w:ascii="仿宋" w:eastAsia="仿宋" w:hAnsi="仿宋" w:cs="Tahoma" w:hint="eastAsia"/>
          <w:color w:val="000000"/>
          <w:kern w:val="0"/>
          <w:sz w:val="32"/>
          <w:szCs w:val="32"/>
        </w:rPr>
        <w:t>万元。其中人员经费</w:t>
      </w:r>
      <w:r w:rsidR="00DA05A2">
        <w:rPr>
          <w:rFonts w:ascii="仿宋" w:eastAsia="仿宋" w:hAnsi="仿宋" w:cs="Tahoma" w:hint="eastAsia"/>
          <w:color w:val="000000"/>
          <w:kern w:val="0"/>
          <w:sz w:val="32"/>
          <w:szCs w:val="32"/>
        </w:rPr>
        <w:t>增加</w:t>
      </w:r>
      <w:r w:rsidR="00AD101C">
        <w:rPr>
          <w:rFonts w:ascii="仿宋" w:eastAsia="仿宋" w:hAnsi="仿宋" w:cs="Tahoma" w:hint="eastAsia"/>
          <w:color w:val="000000"/>
          <w:kern w:val="0"/>
          <w:sz w:val="32"/>
          <w:szCs w:val="32"/>
        </w:rPr>
        <w:t>3.18</w:t>
      </w:r>
      <w:r w:rsidR="0069730B" w:rsidRPr="0069730B">
        <w:rPr>
          <w:rFonts w:ascii="仿宋" w:eastAsia="仿宋" w:hAnsi="仿宋" w:cs="Tahoma" w:hint="eastAsia"/>
          <w:color w:val="000000"/>
          <w:kern w:val="0"/>
          <w:sz w:val="32"/>
          <w:szCs w:val="32"/>
        </w:rPr>
        <w:t>万元（</w:t>
      </w:r>
      <w:r w:rsidR="00AD101C">
        <w:rPr>
          <w:rFonts w:ascii="仿宋" w:eastAsia="仿宋" w:hAnsi="仿宋" w:cs="Tahoma" w:hint="eastAsia"/>
          <w:color w:val="000000"/>
          <w:kern w:val="0"/>
          <w:sz w:val="32"/>
          <w:szCs w:val="32"/>
        </w:rPr>
        <w:t>社保、工资调标</w:t>
      </w:r>
      <w:r w:rsidR="0069730B" w:rsidRPr="0069730B">
        <w:rPr>
          <w:rFonts w:ascii="仿宋" w:eastAsia="仿宋" w:hAnsi="仿宋" w:cs="Tahoma" w:hint="eastAsia"/>
          <w:color w:val="000000"/>
          <w:kern w:val="0"/>
          <w:sz w:val="32"/>
          <w:szCs w:val="32"/>
        </w:rPr>
        <w:t>，所以</w:t>
      </w:r>
      <w:r w:rsidR="00AD101C">
        <w:rPr>
          <w:rFonts w:ascii="仿宋" w:eastAsia="仿宋" w:hAnsi="仿宋" w:cs="Tahoma" w:hint="eastAsia"/>
          <w:color w:val="000000"/>
          <w:kern w:val="0"/>
          <w:sz w:val="32"/>
          <w:szCs w:val="32"/>
        </w:rPr>
        <w:t>2020</w:t>
      </w:r>
      <w:r w:rsidR="0069730B" w:rsidRPr="0069730B">
        <w:rPr>
          <w:rFonts w:ascii="仿宋" w:eastAsia="仿宋" w:hAnsi="仿宋" w:cs="Tahoma" w:hint="eastAsia"/>
          <w:color w:val="000000"/>
          <w:kern w:val="0"/>
          <w:sz w:val="32"/>
          <w:szCs w:val="32"/>
        </w:rPr>
        <w:t>年比201</w:t>
      </w:r>
      <w:r w:rsidR="00AD101C">
        <w:rPr>
          <w:rFonts w:ascii="仿宋" w:eastAsia="仿宋" w:hAnsi="仿宋" w:cs="Tahoma" w:hint="eastAsia"/>
          <w:color w:val="000000"/>
          <w:kern w:val="0"/>
          <w:sz w:val="32"/>
          <w:szCs w:val="32"/>
        </w:rPr>
        <w:t>9</w:t>
      </w:r>
      <w:r w:rsidR="0069730B" w:rsidRPr="0069730B">
        <w:rPr>
          <w:rFonts w:ascii="仿宋" w:eastAsia="仿宋" w:hAnsi="仿宋" w:cs="Tahoma" w:hint="eastAsia"/>
          <w:color w:val="000000"/>
          <w:kern w:val="0"/>
          <w:sz w:val="32"/>
          <w:szCs w:val="32"/>
        </w:rPr>
        <w:t>年人员经费相对增加），正常公用经费</w:t>
      </w:r>
      <w:r w:rsidR="00900C1F">
        <w:rPr>
          <w:rFonts w:ascii="仿宋" w:eastAsia="仿宋" w:hAnsi="仿宋" w:cs="Tahoma" w:hint="eastAsia"/>
          <w:color w:val="000000"/>
          <w:kern w:val="0"/>
          <w:sz w:val="32"/>
          <w:szCs w:val="32"/>
        </w:rPr>
        <w:t>减少</w:t>
      </w:r>
      <w:r w:rsidR="00AD101C">
        <w:rPr>
          <w:rFonts w:ascii="仿宋" w:eastAsia="仿宋" w:hAnsi="仿宋" w:cs="Tahoma" w:hint="eastAsia"/>
          <w:color w:val="000000"/>
          <w:kern w:val="0"/>
          <w:sz w:val="32"/>
          <w:szCs w:val="32"/>
        </w:rPr>
        <w:t>0.3</w:t>
      </w:r>
      <w:r w:rsidR="0069730B" w:rsidRPr="0069730B">
        <w:rPr>
          <w:rFonts w:ascii="仿宋" w:eastAsia="仿宋" w:hAnsi="仿宋" w:cs="Tahoma" w:hint="eastAsia"/>
          <w:color w:val="000000"/>
          <w:kern w:val="0"/>
          <w:sz w:val="32"/>
          <w:szCs w:val="32"/>
        </w:rPr>
        <w:t>万元（</w:t>
      </w:r>
      <w:r w:rsidR="00900C1F">
        <w:rPr>
          <w:rFonts w:ascii="仿宋" w:eastAsia="仿宋" w:hAnsi="仿宋" w:cs="Tahoma" w:hint="eastAsia"/>
          <w:color w:val="000000"/>
          <w:kern w:val="0"/>
          <w:sz w:val="32"/>
          <w:szCs w:val="32"/>
        </w:rPr>
        <w:t>缩减经费开支</w:t>
      </w:r>
      <w:r w:rsidR="00AD101C">
        <w:rPr>
          <w:rFonts w:ascii="仿宋" w:eastAsia="仿宋" w:hAnsi="仿宋" w:cs="Tahoma" w:hint="eastAsia"/>
          <w:color w:val="000000"/>
          <w:kern w:val="0"/>
          <w:sz w:val="32"/>
          <w:szCs w:val="32"/>
        </w:rPr>
        <w:t>）。</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三、机关运行经费安排情况</w:t>
      </w:r>
    </w:p>
    <w:p w:rsidR="0069730B" w:rsidRPr="00665478" w:rsidRDefault="00AD101C" w:rsidP="003C23FE">
      <w:pPr>
        <w:ind w:firstLineChars="150" w:firstLine="480"/>
        <w:jc w:val="left"/>
        <w:rPr>
          <w:rFonts w:ascii="仿宋" w:eastAsia="仿宋" w:hAnsi="仿宋" w:cs="Tahoma"/>
          <w:color w:val="000000"/>
          <w:kern w:val="0"/>
          <w:sz w:val="32"/>
          <w:szCs w:val="32"/>
        </w:rPr>
      </w:pPr>
      <w:r>
        <w:rPr>
          <w:rFonts w:ascii="仿宋" w:eastAsia="仿宋" w:hAnsi="仿宋" w:cs="Tahoma" w:hint="eastAsia"/>
          <w:color w:val="000000"/>
          <w:kern w:val="0"/>
          <w:sz w:val="32"/>
          <w:szCs w:val="32"/>
        </w:rPr>
        <w:t>2020</w:t>
      </w:r>
      <w:r w:rsidR="0069730B" w:rsidRPr="0069730B">
        <w:rPr>
          <w:rFonts w:ascii="仿宋" w:eastAsia="仿宋" w:hAnsi="仿宋" w:cs="Tahoma" w:hint="eastAsia"/>
          <w:color w:val="000000"/>
          <w:kern w:val="0"/>
          <w:sz w:val="32"/>
          <w:szCs w:val="32"/>
        </w:rPr>
        <w:t>年，我单位预算安排公用经费</w:t>
      </w:r>
      <w:r>
        <w:rPr>
          <w:rFonts w:ascii="仿宋" w:eastAsia="仿宋" w:hAnsi="仿宋" w:cs="Tahoma" w:hint="eastAsia"/>
          <w:color w:val="000000"/>
          <w:kern w:val="0"/>
          <w:sz w:val="32"/>
          <w:szCs w:val="32"/>
        </w:rPr>
        <w:t>4.1</w:t>
      </w:r>
      <w:r w:rsidR="00900C1F">
        <w:rPr>
          <w:rFonts w:ascii="仿宋" w:eastAsia="仿宋" w:hAnsi="仿宋" w:cs="Tahoma" w:hint="eastAsia"/>
          <w:color w:val="000000"/>
          <w:kern w:val="0"/>
          <w:sz w:val="32"/>
          <w:szCs w:val="32"/>
        </w:rPr>
        <w:t>0</w:t>
      </w:r>
      <w:r w:rsidR="0069730B" w:rsidRPr="0069730B">
        <w:rPr>
          <w:rFonts w:ascii="仿宋" w:eastAsia="仿宋" w:hAnsi="仿宋" w:cs="Tahoma" w:hint="eastAsia"/>
          <w:color w:val="000000"/>
          <w:kern w:val="0"/>
          <w:sz w:val="32"/>
          <w:szCs w:val="32"/>
        </w:rPr>
        <w:t>万元，其中，办公费</w:t>
      </w:r>
      <w:r w:rsidR="00665478" w:rsidRPr="00665478">
        <w:rPr>
          <w:rFonts w:ascii="仿宋" w:eastAsia="仿宋" w:hAnsi="仿宋" w:cs="Tahoma" w:hint="eastAsia"/>
          <w:color w:val="000000"/>
          <w:kern w:val="0"/>
          <w:sz w:val="32"/>
          <w:szCs w:val="32"/>
        </w:rPr>
        <w:t>0.</w:t>
      </w:r>
      <w:r>
        <w:rPr>
          <w:rFonts w:ascii="仿宋" w:eastAsia="仿宋" w:hAnsi="仿宋" w:cs="Tahoma" w:hint="eastAsia"/>
          <w:color w:val="000000"/>
          <w:kern w:val="0"/>
          <w:sz w:val="32"/>
          <w:szCs w:val="32"/>
        </w:rPr>
        <w:t>42</w:t>
      </w:r>
      <w:r w:rsidR="0069730B" w:rsidRPr="0069730B">
        <w:rPr>
          <w:rFonts w:ascii="仿宋" w:eastAsia="仿宋" w:hAnsi="仿宋" w:cs="Tahoma" w:hint="eastAsia"/>
          <w:color w:val="000000"/>
          <w:kern w:val="0"/>
          <w:sz w:val="32"/>
          <w:szCs w:val="32"/>
        </w:rPr>
        <w:t>万元，</w:t>
      </w:r>
      <w:r w:rsidR="00257776">
        <w:rPr>
          <w:rFonts w:ascii="仿宋" w:eastAsia="仿宋" w:hAnsi="仿宋" w:cs="Tahoma" w:hint="eastAsia"/>
          <w:color w:val="000000"/>
          <w:kern w:val="0"/>
          <w:sz w:val="32"/>
          <w:szCs w:val="32"/>
        </w:rPr>
        <w:t>邮电费</w:t>
      </w:r>
      <w:r w:rsidR="0069730B" w:rsidRPr="0069730B">
        <w:rPr>
          <w:rFonts w:ascii="仿宋" w:eastAsia="仿宋" w:hAnsi="仿宋" w:cs="Tahoma" w:hint="eastAsia"/>
          <w:color w:val="000000"/>
          <w:kern w:val="0"/>
          <w:sz w:val="32"/>
          <w:szCs w:val="32"/>
        </w:rPr>
        <w:t>0.</w:t>
      </w:r>
      <w:r w:rsidR="00257776">
        <w:rPr>
          <w:rFonts w:ascii="仿宋" w:eastAsia="仿宋" w:hAnsi="仿宋" w:cs="Tahoma" w:hint="eastAsia"/>
          <w:color w:val="000000"/>
          <w:kern w:val="0"/>
          <w:sz w:val="32"/>
          <w:szCs w:val="32"/>
        </w:rPr>
        <w:t>48</w:t>
      </w:r>
      <w:r w:rsidR="0069730B" w:rsidRPr="0069730B">
        <w:rPr>
          <w:rFonts w:ascii="仿宋" w:eastAsia="仿宋" w:hAnsi="仿宋" w:cs="Tahoma" w:hint="eastAsia"/>
          <w:color w:val="000000"/>
          <w:kern w:val="0"/>
          <w:sz w:val="32"/>
          <w:szCs w:val="32"/>
        </w:rPr>
        <w:t>万元，</w:t>
      </w:r>
      <w:r w:rsidR="00257776">
        <w:rPr>
          <w:rFonts w:ascii="仿宋" w:eastAsia="仿宋" w:hAnsi="仿宋" w:cs="Tahoma" w:hint="eastAsia"/>
          <w:color w:val="000000"/>
          <w:kern w:val="0"/>
          <w:sz w:val="32"/>
          <w:szCs w:val="32"/>
        </w:rPr>
        <w:t>差旅费</w:t>
      </w:r>
      <w:r w:rsidR="00694F29" w:rsidRPr="00665478">
        <w:rPr>
          <w:rFonts w:ascii="仿宋" w:eastAsia="仿宋" w:hAnsi="仿宋" w:cs="Tahoma" w:hint="eastAsia"/>
          <w:color w:val="000000"/>
          <w:kern w:val="0"/>
          <w:sz w:val="32"/>
          <w:szCs w:val="32"/>
        </w:rPr>
        <w:t>0.</w:t>
      </w:r>
      <w:r w:rsidR="00257776">
        <w:rPr>
          <w:rFonts w:ascii="仿宋" w:eastAsia="仿宋" w:hAnsi="仿宋" w:cs="Tahoma" w:hint="eastAsia"/>
          <w:color w:val="000000"/>
          <w:kern w:val="0"/>
          <w:sz w:val="32"/>
          <w:szCs w:val="32"/>
        </w:rPr>
        <w:t>09</w:t>
      </w:r>
      <w:r w:rsidR="00665478">
        <w:rPr>
          <w:rFonts w:ascii="仿宋" w:eastAsia="仿宋" w:hAnsi="仿宋" w:cs="Tahoma" w:hint="eastAsia"/>
          <w:color w:val="000000"/>
          <w:kern w:val="0"/>
          <w:sz w:val="32"/>
          <w:szCs w:val="32"/>
        </w:rPr>
        <w:t>万元</w:t>
      </w:r>
      <w:r w:rsidR="0069730B" w:rsidRPr="0069730B">
        <w:rPr>
          <w:rFonts w:ascii="仿宋" w:eastAsia="仿宋" w:hAnsi="仿宋" w:cs="Tahoma" w:hint="eastAsia"/>
          <w:color w:val="000000"/>
          <w:kern w:val="0"/>
          <w:sz w:val="32"/>
          <w:szCs w:val="32"/>
        </w:rPr>
        <w:t>，</w:t>
      </w:r>
      <w:r w:rsidR="00257776">
        <w:rPr>
          <w:rFonts w:ascii="仿宋" w:eastAsia="仿宋" w:hAnsi="仿宋" w:cs="Tahoma" w:hint="eastAsia"/>
          <w:color w:val="000000"/>
          <w:kern w:val="0"/>
          <w:sz w:val="32"/>
          <w:szCs w:val="32"/>
        </w:rPr>
        <w:t>维护费</w:t>
      </w:r>
      <w:r w:rsidR="00694F29" w:rsidRPr="00665478">
        <w:rPr>
          <w:rFonts w:ascii="仿宋" w:eastAsia="仿宋" w:hAnsi="仿宋" w:cs="Tahoma" w:hint="eastAsia"/>
          <w:color w:val="000000"/>
          <w:kern w:val="0"/>
          <w:sz w:val="32"/>
          <w:szCs w:val="32"/>
        </w:rPr>
        <w:t>0.</w:t>
      </w:r>
      <w:r w:rsidR="00257776">
        <w:rPr>
          <w:rFonts w:ascii="仿宋" w:eastAsia="仿宋" w:hAnsi="仿宋" w:cs="Tahoma" w:hint="eastAsia"/>
          <w:color w:val="000000"/>
          <w:kern w:val="0"/>
          <w:sz w:val="32"/>
          <w:szCs w:val="32"/>
        </w:rPr>
        <w:t>33</w:t>
      </w:r>
      <w:r w:rsidR="0069730B" w:rsidRPr="0069730B">
        <w:rPr>
          <w:rFonts w:ascii="仿宋" w:eastAsia="仿宋" w:hAnsi="仿宋" w:cs="Tahoma" w:hint="eastAsia"/>
          <w:color w:val="000000"/>
          <w:kern w:val="0"/>
          <w:sz w:val="32"/>
          <w:szCs w:val="32"/>
        </w:rPr>
        <w:t>万元，</w:t>
      </w:r>
      <w:r w:rsidR="00257776">
        <w:rPr>
          <w:rFonts w:ascii="仿宋" w:eastAsia="仿宋" w:hAnsi="仿宋" w:cs="Tahoma" w:hint="eastAsia"/>
          <w:color w:val="000000"/>
          <w:kern w:val="0"/>
          <w:sz w:val="32"/>
          <w:szCs w:val="32"/>
        </w:rPr>
        <w:t>工会经费0.62万元，福利费0.32万元，</w:t>
      </w:r>
      <w:r w:rsidR="00665478">
        <w:rPr>
          <w:rFonts w:ascii="仿宋" w:eastAsia="仿宋" w:hAnsi="仿宋" w:cs="Tahoma" w:hint="eastAsia"/>
          <w:color w:val="000000"/>
          <w:kern w:val="0"/>
          <w:sz w:val="32"/>
          <w:szCs w:val="32"/>
        </w:rPr>
        <w:t>其他交通费</w:t>
      </w:r>
      <w:r w:rsidR="00257776">
        <w:rPr>
          <w:rFonts w:ascii="仿宋" w:eastAsia="仿宋" w:hAnsi="仿宋" w:cs="Tahoma" w:hint="eastAsia"/>
          <w:color w:val="000000"/>
          <w:kern w:val="0"/>
          <w:sz w:val="32"/>
          <w:szCs w:val="32"/>
        </w:rPr>
        <w:t>1.26</w:t>
      </w:r>
      <w:r w:rsidR="00665478" w:rsidRPr="00665478">
        <w:rPr>
          <w:rFonts w:ascii="仿宋" w:eastAsia="仿宋" w:hAnsi="仿宋" w:cs="Tahoma" w:hint="eastAsia"/>
          <w:color w:val="000000"/>
          <w:kern w:val="0"/>
          <w:sz w:val="32"/>
          <w:szCs w:val="32"/>
        </w:rPr>
        <w:t>万元，</w:t>
      </w:r>
      <w:r w:rsidR="00257776">
        <w:rPr>
          <w:rFonts w:ascii="仿宋" w:eastAsia="仿宋" w:hAnsi="仿宋" w:cs="Tahoma" w:hint="eastAsia"/>
          <w:color w:val="000000"/>
          <w:kern w:val="0"/>
          <w:sz w:val="32"/>
          <w:szCs w:val="32"/>
        </w:rPr>
        <w:t>其他商品和服务支出</w:t>
      </w:r>
      <w:r w:rsidR="00665478" w:rsidRPr="00665478">
        <w:rPr>
          <w:rFonts w:ascii="仿宋" w:eastAsia="仿宋" w:hAnsi="仿宋" w:cs="Tahoma" w:hint="eastAsia"/>
          <w:color w:val="000000"/>
          <w:kern w:val="0"/>
          <w:sz w:val="32"/>
          <w:szCs w:val="32"/>
        </w:rPr>
        <w:t>0.</w:t>
      </w:r>
      <w:r w:rsidR="00257776">
        <w:rPr>
          <w:rFonts w:ascii="仿宋" w:eastAsia="仿宋" w:hAnsi="仿宋" w:cs="Tahoma" w:hint="eastAsia"/>
          <w:color w:val="000000"/>
          <w:kern w:val="0"/>
          <w:sz w:val="32"/>
          <w:szCs w:val="32"/>
        </w:rPr>
        <w:t>58</w:t>
      </w:r>
      <w:r w:rsidR="0069730B" w:rsidRPr="0069730B">
        <w:rPr>
          <w:rFonts w:ascii="仿宋" w:eastAsia="仿宋" w:hAnsi="仿宋" w:cs="Tahoma" w:hint="eastAsia"/>
          <w:color w:val="000000"/>
          <w:kern w:val="0"/>
          <w:sz w:val="32"/>
          <w:szCs w:val="32"/>
        </w:rPr>
        <w:t>万元。</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四、财政拨款“三公”经费预算情况</w:t>
      </w:r>
    </w:p>
    <w:p w:rsidR="00AC0C7E" w:rsidRDefault="00257776" w:rsidP="00AC0C7E">
      <w:pPr>
        <w:spacing w:line="560" w:lineRule="exact"/>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2020</w:t>
      </w:r>
      <w:r w:rsidR="0069730B" w:rsidRPr="0069730B">
        <w:rPr>
          <w:rFonts w:ascii="仿宋" w:eastAsia="仿宋" w:hAnsi="仿宋" w:cs="Tahoma" w:hint="eastAsia"/>
          <w:color w:val="000000"/>
          <w:kern w:val="0"/>
          <w:sz w:val="32"/>
          <w:szCs w:val="32"/>
        </w:rPr>
        <w:t>年区</w:t>
      </w:r>
      <w:r w:rsidR="00AF7C8B">
        <w:rPr>
          <w:rFonts w:ascii="仿宋" w:eastAsia="仿宋" w:hAnsi="仿宋" w:cs="Tahoma" w:hint="eastAsia"/>
          <w:color w:val="000000"/>
          <w:kern w:val="0"/>
          <w:sz w:val="32"/>
          <w:szCs w:val="32"/>
        </w:rPr>
        <w:t>老干部局共</w:t>
      </w:r>
      <w:r w:rsidR="0069730B" w:rsidRPr="0069730B">
        <w:rPr>
          <w:rFonts w:ascii="仿宋" w:eastAsia="仿宋" w:hAnsi="仿宋" w:cs="Tahoma" w:hint="eastAsia"/>
          <w:color w:val="000000"/>
          <w:kern w:val="0"/>
          <w:sz w:val="32"/>
          <w:szCs w:val="32"/>
        </w:rPr>
        <w:t>安排 “三公经费”</w:t>
      </w:r>
      <w:r w:rsidR="00665478">
        <w:rPr>
          <w:rFonts w:ascii="仿宋" w:eastAsia="仿宋" w:hAnsi="仿宋" w:cs="Tahoma" w:hint="eastAsia"/>
          <w:color w:val="000000"/>
          <w:kern w:val="0"/>
          <w:sz w:val="32"/>
          <w:szCs w:val="32"/>
        </w:rPr>
        <w:t>0</w:t>
      </w:r>
      <w:r w:rsidR="0069730B" w:rsidRPr="0069730B">
        <w:rPr>
          <w:rFonts w:ascii="仿宋" w:eastAsia="仿宋" w:hAnsi="仿宋" w:cs="Tahoma" w:hint="eastAsia"/>
          <w:color w:val="000000"/>
          <w:kern w:val="0"/>
          <w:sz w:val="32"/>
          <w:szCs w:val="32"/>
        </w:rPr>
        <w:t>万元，其中</w:t>
      </w:r>
    </w:p>
    <w:p w:rsidR="00AC0C7E" w:rsidRPr="00AC0C7E" w:rsidRDefault="00AC0C7E" w:rsidP="006B5C1E">
      <w:pPr>
        <w:spacing w:line="560" w:lineRule="exact"/>
        <w:ind w:firstLineChars="200" w:firstLine="640"/>
        <w:outlineLvl w:val="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1. 公务用车购置及运行费</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①公务用车购置费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，较上年比较，</w:t>
      </w:r>
      <w:r>
        <w:rPr>
          <w:rFonts w:ascii="仿宋" w:eastAsia="仿宋" w:hAnsi="仿宋" w:cs="Tahoma" w:hint="eastAsia"/>
          <w:color w:val="000000"/>
          <w:kern w:val="0"/>
          <w:sz w:val="32"/>
          <w:szCs w:val="32"/>
        </w:rPr>
        <w:t>持平。</w:t>
      </w:r>
    </w:p>
    <w:p w:rsidR="00AC0C7E" w:rsidRPr="0069730B" w:rsidRDefault="00AC0C7E" w:rsidP="00AC0C7E">
      <w:pPr>
        <w:widowControl/>
        <w:shd w:val="clear" w:color="auto" w:fill="FFFFFF"/>
        <w:spacing w:line="293" w:lineRule="atLeast"/>
        <w:ind w:firstLine="480"/>
        <w:jc w:val="left"/>
        <w:rPr>
          <w:rFonts w:ascii="Tahoma" w:eastAsia="宋体" w:hAnsi="Tahoma" w:cs="Tahoma"/>
          <w:color w:val="333333"/>
          <w:kern w:val="0"/>
          <w:sz w:val="20"/>
          <w:szCs w:val="20"/>
        </w:rPr>
      </w:pPr>
      <w:r w:rsidRPr="00AC0C7E">
        <w:rPr>
          <w:rFonts w:ascii="仿宋" w:eastAsia="仿宋" w:hAnsi="仿宋" w:cs="Tahoma" w:hint="eastAsia"/>
          <w:color w:val="000000"/>
          <w:kern w:val="0"/>
          <w:sz w:val="32"/>
          <w:szCs w:val="32"/>
        </w:rPr>
        <w:t>②公务用车运行维护经费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w:t>
      </w:r>
      <w:r w:rsidR="00665478" w:rsidRPr="00AC0C7E">
        <w:rPr>
          <w:rFonts w:ascii="仿宋" w:eastAsia="仿宋" w:hAnsi="仿宋" w:cs="Tahoma" w:hint="eastAsia"/>
          <w:color w:val="000000"/>
          <w:kern w:val="0"/>
          <w:sz w:val="32"/>
          <w:szCs w:val="32"/>
        </w:rPr>
        <w:t>较上年比较，</w:t>
      </w:r>
      <w:r w:rsidR="00665478">
        <w:rPr>
          <w:rFonts w:ascii="仿宋" w:eastAsia="仿宋" w:hAnsi="仿宋" w:cs="Tahoma" w:hint="eastAsia"/>
          <w:color w:val="000000"/>
          <w:kern w:val="0"/>
          <w:sz w:val="32"/>
          <w:szCs w:val="32"/>
        </w:rPr>
        <w:t>持平。</w:t>
      </w:r>
    </w:p>
    <w:p w:rsid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2.公务接待费</w:t>
      </w:r>
      <w:r w:rsidR="00665478">
        <w:rPr>
          <w:rFonts w:ascii="仿宋" w:eastAsia="仿宋" w:hAnsi="仿宋" w:cs="Tahoma" w:hint="eastAsia"/>
          <w:color w:val="000000"/>
          <w:kern w:val="0"/>
          <w:sz w:val="32"/>
          <w:szCs w:val="32"/>
        </w:rPr>
        <w:t>0</w:t>
      </w:r>
      <w:r w:rsidRPr="0069730B">
        <w:rPr>
          <w:rFonts w:ascii="仿宋" w:eastAsia="仿宋" w:hAnsi="仿宋" w:cs="Tahoma" w:hint="eastAsia"/>
          <w:color w:val="000000"/>
          <w:kern w:val="0"/>
          <w:sz w:val="32"/>
          <w:szCs w:val="32"/>
        </w:rPr>
        <w:t>万元</w:t>
      </w:r>
      <w:r w:rsidRPr="00AC0C7E">
        <w:rPr>
          <w:rFonts w:ascii="仿宋" w:eastAsia="仿宋" w:hAnsi="仿宋" w:cs="Tahoma" w:hint="eastAsia"/>
          <w:color w:val="000000"/>
          <w:kern w:val="0"/>
          <w:sz w:val="32"/>
          <w:szCs w:val="32"/>
        </w:rPr>
        <w:t>，</w:t>
      </w:r>
      <w:r w:rsidR="00257776">
        <w:rPr>
          <w:rFonts w:ascii="仿宋" w:eastAsia="仿宋" w:hAnsi="仿宋" w:cs="Tahoma" w:hint="eastAsia"/>
          <w:color w:val="000000"/>
          <w:kern w:val="0"/>
          <w:sz w:val="32"/>
          <w:szCs w:val="32"/>
        </w:rPr>
        <w:t>较上年比较，持平</w:t>
      </w:r>
      <w:r>
        <w:rPr>
          <w:rFonts w:ascii="仿宋" w:eastAsia="仿宋" w:hAnsi="仿宋" w:cs="Tahoma" w:hint="eastAsia"/>
          <w:color w:val="000000"/>
          <w:kern w:val="0"/>
          <w:sz w:val="32"/>
          <w:szCs w:val="32"/>
        </w:rPr>
        <w:t>。</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lastRenderedPageBreak/>
        <w:t>3. 因公出国（境）费</w:t>
      </w:r>
      <w:r>
        <w:rPr>
          <w:rFonts w:ascii="仿宋" w:eastAsia="仿宋" w:hAnsi="仿宋" w:cs="Tahoma" w:hint="eastAsia"/>
          <w:color w:val="000000"/>
          <w:kern w:val="0"/>
          <w:sz w:val="32"/>
          <w:szCs w:val="32"/>
        </w:rPr>
        <w:t>0万元</w:t>
      </w:r>
      <w:r w:rsidRPr="0069730B">
        <w:rPr>
          <w:rFonts w:ascii="仿宋" w:eastAsia="仿宋" w:hAnsi="仿宋" w:cs="Tahoma" w:hint="eastAsia"/>
          <w:color w:val="000000"/>
          <w:kern w:val="0"/>
          <w:sz w:val="32"/>
          <w:szCs w:val="32"/>
        </w:rPr>
        <w:t>，与上年持平</w:t>
      </w:r>
      <w:r>
        <w:rPr>
          <w:rFonts w:ascii="仿宋" w:eastAsia="仿宋" w:hAnsi="仿宋" w:cs="Tahoma" w:hint="eastAsia"/>
          <w:color w:val="000000"/>
          <w:kern w:val="0"/>
          <w:sz w:val="32"/>
          <w:szCs w:val="32"/>
        </w:rPr>
        <w:t>。</w:t>
      </w:r>
    </w:p>
    <w:p w:rsidR="0069730B" w:rsidRPr="00CF1965" w:rsidRDefault="0069730B" w:rsidP="00D506C8">
      <w:pPr>
        <w:widowControl/>
        <w:shd w:val="clear" w:color="auto" w:fill="FFFFFF"/>
        <w:spacing w:line="293" w:lineRule="atLeast"/>
        <w:jc w:val="left"/>
        <w:rPr>
          <w:rFonts w:ascii="Tahoma" w:eastAsia="宋体" w:hAnsi="Tahoma" w:cs="Tahoma"/>
          <w:kern w:val="0"/>
          <w:sz w:val="20"/>
          <w:szCs w:val="20"/>
        </w:rPr>
      </w:pPr>
      <w:r w:rsidRPr="00CF1965">
        <w:rPr>
          <w:rFonts w:ascii="仿宋" w:eastAsia="仿宋" w:hAnsi="仿宋" w:cs="Tahoma" w:hint="eastAsia"/>
          <w:b/>
          <w:bCs/>
          <w:kern w:val="0"/>
          <w:sz w:val="32"/>
          <w:szCs w:val="32"/>
        </w:rPr>
        <w:t>五、绩效预算信息情况</w:t>
      </w:r>
    </w:p>
    <w:p w:rsidR="0069730B" w:rsidRPr="00CF1965" w:rsidRDefault="0069730B" w:rsidP="00D506C8">
      <w:pPr>
        <w:widowControl/>
        <w:shd w:val="clear" w:color="auto" w:fill="FFFFFF"/>
        <w:spacing w:line="560" w:lineRule="atLeast"/>
        <w:ind w:firstLineChars="200" w:firstLine="640"/>
        <w:jc w:val="left"/>
        <w:rPr>
          <w:rFonts w:ascii="仿宋" w:eastAsia="仿宋" w:hAnsi="仿宋" w:cs="Tahoma"/>
          <w:kern w:val="0"/>
          <w:sz w:val="32"/>
          <w:szCs w:val="32"/>
        </w:rPr>
      </w:pPr>
      <w:r w:rsidRPr="00CF1965">
        <w:rPr>
          <w:rFonts w:ascii="仿宋" w:eastAsia="仿宋" w:hAnsi="仿宋" w:cs="Tahoma" w:hint="eastAsia"/>
          <w:kern w:val="0"/>
          <w:sz w:val="32"/>
          <w:szCs w:val="32"/>
        </w:rPr>
        <w:t>总体绩效目标：</w:t>
      </w:r>
      <w:r w:rsidR="003C23FE" w:rsidRPr="00CF1965">
        <w:rPr>
          <w:rFonts w:ascii="仿宋" w:eastAsia="仿宋" w:hAnsi="仿宋" w:cs="Tahoma" w:hint="eastAsia"/>
          <w:kern w:val="0"/>
          <w:sz w:val="32"/>
          <w:szCs w:val="32"/>
        </w:rPr>
        <w:t>深入学习贯彻党的十九大习近平总书记系列重要讲话精神，</w:t>
      </w:r>
      <w:r w:rsidR="00AE4EB7" w:rsidRPr="00CF1965">
        <w:rPr>
          <w:rFonts w:ascii="仿宋" w:eastAsia="仿宋" w:hAnsi="仿宋" w:cs="Tahoma" w:hint="eastAsia"/>
          <w:kern w:val="0"/>
          <w:sz w:val="32"/>
          <w:szCs w:val="32"/>
        </w:rPr>
        <w:t>紧紧围绕我区工作大局，坚持以人为本，创新工作理念，</w:t>
      </w:r>
      <w:r w:rsidR="003C23FE" w:rsidRPr="00CF1965">
        <w:rPr>
          <w:rFonts w:ascii="仿宋" w:eastAsia="仿宋" w:hAnsi="仿宋" w:cs="Tahoma" w:hint="eastAsia"/>
          <w:kern w:val="0"/>
          <w:sz w:val="32"/>
          <w:szCs w:val="32"/>
        </w:rPr>
        <w:t>进一步加强离退休干部思想政治建设和党组织建设，</w:t>
      </w:r>
      <w:r w:rsidR="00AE4EB7" w:rsidRPr="00CF1965">
        <w:rPr>
          <w:rFonts w:ascii="仿宋" w:eastAsia="仿宋" w:hAnsi="仿宋" w:cs="Tahoma" w:hint="eastAsia"/>
          <w:kern w:val="0"/>
          <w:sz w:val="32"/>
          <w:szCs w:val="32"/>
        </w:rPr>
        <w:t>全面落实两项待遇，加强管理，提高服务水平,组织老干部参加社会、文体及各项活动，让每位老干部感受到政治上的关心，生活上的爱护，</w:t>
      </w:r>
      <w:r w:rsidR="00CF1965" w:rsidRPr="00CF1965">
        <w:rPr>
          <w:rFonts w:ascii="仿宋" w:eastAsia="仿宋" w:hAnsi="仿宋" w:cs="Tahoma" w:hint="eastAsia"/>
          <w:kern w:val="0"/>
          <w:sz w:val="32"/>
          <w:szCs w:val="32"/>
        </w:rPr>
        <w:t>更好地享受改革发展成果，营造出更加浓厚的尊老、敬老、爱老的社会氛围。</w:t>
      </w:r>
    </w:p>
    <w:p w:rsidR="000B597D" w:rsidRPr="00CF1965" w:rsidRDefault="000B597D" w:rsidP="0069730B">
      <w:pPr>
        <w:widowControl/>
        <w:shd w:val="clear" w:color="auto" w:fill="FFFFFF"/>
        <w:spacing w:line="560" w:lineRule="atLeast"/>
        <w:jc w:val="left"/>
        <w:rPr>
          <w:rFonts w:ascii="仿宋" w:eastAsia="仿宋" w:hAnsi="仿宋" w:cs="Tahoma"/>
          <w:kern w:val="0"/>
          <w:sz w:val="32"/>
          <w:szCs w:val="32"/>
        </w:rPr>
      </w:pPr>
    </w:p>
    <w:p w:rsidR="0069730B" w:rsidRPr="00CF1965" w:rsidRDefault="000B597D" w:rsidP="000B597D">
      <w:pPr>
        <w:widowControl/>
        <w:shd w:val="clear" w:color="auto" w:fill="FFFFFF"/>
        <w:spacing w:line="560" w:lineRule="atLeast"/>
        <w:jc w:val="center"/>
        <w:rPr>
          <w:rFonts w:ascii="仿宋" w:eastAsia="仿宋" w:hAnsi="仿宋" w:cs="Tahoma"/>
          <w:kern w:val="0"/>
          <w:sz w:val="32"/>
          <w:szCs w:val="32"/>
        </w:rPr>
      </w:pPr>
      <w:r w:rsidRPr="00CF1965">
        <w:rPr>
          <w:rFonts w:ascii="仿宋" w:eastAsia="仿宋" w:hAnsi="仿宋" w:cs="Tahoma" w:hint="eastAsia"/>
          <w:kern w:val="0"/>
          <w:sz w:val="32"/>
          <w:szCs w:val="32"/>
        </w:rPr>
        <w:t>部门职责-</w:t>
      </w:r>
      <w:r w:rsidR="0069730B" w:rsidRPr="00CF1965">
        <w:rPr>
          <w:rFonts w:ascii="仿宋" w:eastAsia="仿宋" w:hAnsi="仿宋" w:cs="Tahoma" w:hint="eastAsia"/>
          <w:kern w:val="0"/>
          <w:sz w:val="32"/>
          <w:szCs w:val="32"/>
        </w:rPr>
        <w:t>工作活动绩效目标指标：</w:t>
      </w:r>
    </w:p>
    <w:tbl>
      <w:tblPr>
        <w:tblW w:w="0" w:type="auto"/>
        <w:tblInd w:w="-252" w:type="dxa"/>
        <w:shd w:val="clear" w:color="auto" w:fill="FFFFFF"/>
        <w:tblCellMar>
          <w:left w:w="0" w:type="dxa"/>
          <w:right w:w="0" w:type="dxa"/>
        </w:tblCellMar>
        <w:tblLook w:val="04A0"/>
      </w:tblPr>
      <w:tblGrid>
        <w:gridCol w:w="936"/>
        <w:gridCol w:w="564"/>
        <w:gridCol w:w="2385"/>
        <w:gridCol w:w="1225"/>
        <w:gridCol w:w="1041"/>
        <w:gridCol w:w="713"/>
        <w:gridCol w:w="605"/>
        <w:gridCol w:w="605"/>
        <w:gridCol w:w="700"/>
      </w:tblGrid>
      <w:tr w:rsidR="00CF1965" w:rsidRPr="00CF1965" w:rsidTr="0069730B">
        <w:trPr>
          <w:trHeight w:val="285"/>
        </w:trPr>
        <w:tc>
          <w:tcPr>
            <w:tcW w:w="0" w:type="auto"/>
            <w:gridSpan w:val="5"/>
            <w:tcBorders>
              <w:top w:val="single" w:sz="8" w:space="0" w:color="FFFFFF"/>
              <w:left w:val="single" w:sz="8" w:space="0" w:color="FFFFFF"/>
              <w:bottom w:val="nil"/>
              <w:right w:val="single" w:sz="8" w:space="0" w:color="FFFFFF"/>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仿宋" w:eastAsia="仿宋" w:hAnsi="仿宋" w:cs="Tahoma"/>
                <w:kern w:val="0"/>
                <w:sz w:val="32"/>
                <w:szCs w:val="32"/>
              </w:rPr>
            </w:pPr>
            <w:r w:rsidRPr="00CF1965">
              <w:rPr>
                <w:rFonts w:ascii="仿宋" w:eastAsia="仿宋" w:hAnsi="仿宋" w:cs="Tahoma" w:hint="eastAsia"/>
                <w:kern w:val="0"/>
                <w:sz w:val="32"/>
                <w:szCs w:val="32"/>
              </w:rPr>
              <w:t>芦台开发区老干部局</w:t>
            </w:r>
          </w:p>
        </w:tc>
        <w:tc>
          <w:tcPr>
            <w:tcW w:w="0" w:type="auto"/>
            <w:gridSpan w:val="4"/>
            <w:tcBorders>
              <w:top w:val="single" w:sz="8" w:space="0" w:color="FFFFFF"/>
              <w:left w:val="nil"/>
              <w:bottom w:val="nil"/>
              <w:right w:val="single" w:sz="8" w:space="0" w:color="FFFFFF"/>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right"/>
              <w:rPr>
                <w:rFonts w:ascii="仿宋" w:eastAsia="仿宋" w:hAnsi="仿宋" w:cs="Tahoma"/>
                <w:kern w:val="0"/>
                <w:sz w:val="32"/>
                <w:szCs w:val="32"/>
              </w:rPr>
            </w:pPr>
            <w:r w:rsidRPr="00CF1965">
              <w:rPr>
                <w:rFonts w:ascii="仿宋" w:eastAsia="仿宋" w:hAnsi="仿宋" w:cs="Tahoma" w:hint="eastAsia"/>
                <w:kern w:val="0"/>
                <w:sz w:val="32"/>
                <w:szCs w:val="32"/>
              </w:rPr>
              <w:t>单位：万元</w:t>
            </w:r>
          </w:p>
        </w:tc>
      </w:tr>
      <w:tr w:rsidR="00CF1965" w:rsidRPr="00CF1965" w:rsidTr="0069730B">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职责活动</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年度预算数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内容描述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绩效目标</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绩效指标</w:t>
            </w:r>
          </w:p>
        </w:tc>
        <w:tc>
          <w:tcPr>
            <w:tcW w:w="0" w:type="auto"/>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center"/>
              <w:rPr>
                <w:rFonts w:ascii="Tahoma" w:eastAsia="宋体" w:hAnsi="Tahoma" w:cs="Tahoma"/>
                <w:kern w:val="0"/>
                <w:sz w:val="20"/>
                <w:szCs w:val="20"/>
              </w:rPr>
            </w:pPr>
            <w:r w:rsidRPr="00CF1965">
              <w:rPr>
                <w:rFonts w:ascii="仿宋" w:eastAsia="仿宋" w:hAnsi="仿宋" w:cs="Tahoma" w:hint="eastAsia"/>
                <w:b/>
                <w:bCs/>
                <w:kern w:val="0"/>
                <w:sz w:val="24"/>
                <w:szCs w:val="24"/>
              </w:rPr>
              <w:t>评价标准</w:t>
            </w:r>
          </w:p>
        </w:tc>
      </w:tr>
      <w:tr w:rsidR="00CF1965" w:rsidRPr="00CF1965" w:rsidTr="0069730B">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优</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良</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中</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差</w:t>
            </w:r>
          </w:p>
        </w:tc>
      </w:tr>
      <w:tr w:rsidR="00CF1965" w:rsidRPr="00CF1965" w:rsidTr="0069730B">
        <w:trPr>
          <w:trHeight w:val="578"/>
        </w:trPr>
        <w:tc>
          <w:tcPr>
            <w:tcW w:w="0" w:type="auto"/>
            <w:vMerge w:val="restart"/>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离、退休干部政策及服务</w:t>
            </w:r>
          </w:p>
        </w:tc>
        <w:tc>
          <w:tcPr>
            <w:tcW w:w="0" w:type="auto"/>
            <w:vMerge w:val="restar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F14B1C" w:rsidP="0069730B">
            <w:pPr>
              <w:widowControl/>
              <w:spacing w:line="560" w:lineRule="atLeast"/>
              <w:jc w:val="center"/>
              <w:rPr>
                <w:rFonts w:ascii="Tahoma" w:eastAsia="宋体" w:hAnsi="Tahoma" w:cs="Tahoma"/>
                <w:kern w:val="0"/>
                <w:sz w:val="20"/>
                <w:szCs w:val="20"/>
              </w:rPr>
            </w:pPr>
            <w:r>
              <w:rPr>
                <w:rFonts w:ascii="仿宋" w:eastAsia="仿宋" w:hAnsi="仿宋" w:cs="Tahoma" w:hint="eastAsia"/>
                <w:b/>
                <w:bCs/>
                <w:kern w:val="0"/>
                <w:sz w:val="24"/>
                <w:szCs w:val="24"/>
              </w:rPr>
              <w:t>95</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全面落实老干部政治、生活待遇</w:t>
            </w:r>
            <w:r w:rsidR="00504817">
              <w:rPr>
                <w:rFonts w:ascii="仿宋" w:eastAsia="仿宋" w:hAnsi="仿宋" w:cs="Tahoma" w:hint="eastAsia"/>
                <w:b/>
                <w:bCs/>
                <w:kern w:val="0"/>
                <w:sz w:val="24"/>
                <w:szCs w:val="24"/>
              </w:rPr>
              <w:t>。</w:t>
            </w:r>
            <w:r w:rsidR="00504817" w:rsidRPr="00504817">
              <w:rPr>
                <w:rFonts w:ascii="仿宋" w:eastAsia="仿宋" w:hAnsi="仿宋" w:cs="Tahoma" w:hint="eastAsia"/>
                <w:b/>
                <w:bCs/>
                <w:kern w:val="0"/>
                <w:sz w:val="24"/>
                <w:szCs w:val="24"/>
              </w:rPr>
              <w:t>落实政治学习、组织生活、阅读文件、参加重要会议及重要活动，重大节日走访慰问</w:t>
            </w:r>
            <w:r w:rsidR="00504817">
              <w:rPr>
                <w:rFonts w:ascii="仿宋" w:eastAsia="仿宋" w:hAnsi="仿宋" w:cs="Tahoma" w:hint="eastAsia"/>
                <w:b/>
                <w:bCs/>
                <w:kern w:val="0"/>
                <w:sz w:val="24"/>
                <w:szCs w:val="24"/>
              </w:rPr>
              <w:t>，老</w:t>
            </w:r>
            <w:r w:rsidR="00504817">
              <w:rPr>
                <w:rFonts w:ascii="仿宋" w:eastAsia="仿宋" w:hAnsi="仿宋" w:cs="Tahoma" w:hint="eastAsia"/>
                <w:b/>
                <w:bCs/>
                <w:kern w:val="0"/>
                <w:sz w:val="24"/>
                <w:szCs w:val="24"/>
              </w:rPr>
              <w:lastRenderedPageBreak/>
              <w:t>干部体检，医药费报销等。</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lastRenderedPageBreak/>
              <w:t>让每位老干部感受到政治上的关心、生活上的爱护</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老干部政治、生活待遇保障率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100%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&lt;80%</w:t>
            </w:r>
          </w:p>
        </w:tc>
      </w:tr>
      <w:tr w:rsidR="00CF1965" w:rsidRPr="00CF1965" w:rsidTr="0069730B">
        <w:trPr>
          <w:trHeight w:val="600"/>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组织老干部参加社会、文体等各项活动</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老干部日常生活活动丰富充实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举办活动次数</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宋体" w:eastAsia="宋体" w:hAnsi="宋体" w:cs="Tahoma" w:hint="eastAsia"/>
                <w:b/>
                <w:bCs/>
                <w:kern w:val="0"/>
                <w:sz w:val="24"/>
                <w:szCs w:val="24"/>
              </w:rPr>
              <w:t> </w:t>
            </w:r>
          </w:p>
        </w:tc>
      </w:tr>
      <w:tr w:rsidR="00CF1965" w:rsidRPr="00CF1965" w:rsidTr="0069730B">
        <w:trPr>
          <w:trHeight w:val="303"/>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CF1965" w:rsidRDefault="0069730B" w:rsidP="0069730B">
            <w:pPr>
              <w:widowControl/>
              <w:jc w:val="left"/>
              <w:rPr>
                <w:rFonts w:ascii="Tahoma" w:eastAsia="宋体" w:hAnsi="Tahoma" w:cs="Tahoma"/>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加强老干部基层组织和党支部建设</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老干部日常生活活动丰富充实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基层组织和党支部建设工作完成率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≥70%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CF1965" w:rsidRDefault="0069730B" w:rsidP="0069730B">
            <w:pPr>
              <w:widowControl/>
              <w:spacing w:line="560" w:lineRule="atLeast"/>
              <w:jc w:val="left"/>
              <w:rPr>
                <w:rFonts w:ascii="Tahoma" w:eastAsia="宋体" w:hAnsi="Tahoma" w:cs="Tahoma"/>
                <w:kern w:val="0"/>
                <w:sz w:val="20"/>
                <w:szCs w:val="20"/>
              </w:rPr>
            </w:pPr>
            <w:r w:rsidRPr="00CF1965">
              <w:rPr>
                <w:rFonts w:ascii="仿宋" w:eastAsia="仿宋" w:hAnsi="仿宋" w:cs="Tahoma" w:hint="eastAsia"/>
                <w:b/>
                <w:bCs/>
                <w:kern w:val="0"/>
                <w:sz w:val="24"/>
                <w:szCs w:val="24"/>
              </w:rPr>
              <w:t>&lt;70%</w:t>
            </w:r>
          </w:p>
        </w:tc>
      </w:tr>
    </w:tbl>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六、政府采购预算情况</w:t>
      </w:r>
    </w:p>
    <w:p w:rsidR="0069730B" w:rsidRPr="0069730B" w:rsidRDefault="000555F7" w:rsidP="0069730B">
      <w:pPr>
        <w:widowControl/>
        <w:shd w:val="clear" w:color="auto" w:fill="FFFFFF"/>
        <w:spacing w:line="580" w:lineRule="atLeast"/>
        <w:ind w:firstLine="640"/>
        <w:jc w:val="left"/>
        <w:rPr>
          <w:rFonts w:ascii="Tahoma" w:eastAsia="宋体" w:hAnsi="Tahoma" w:cs="Tahoma"/>
          <w:color w:val="333333"/>
          <w:kern w:val="0"/>
          <w:sz w:val="20"/>
          <w:szCs w:val="20"/>
        </w:rPr>
      </w:pPr>
      <w:r w:rsidRPr="000555F7">
        <w:rPr>
          <w:rFonts w:ascii="仿宋" w:eastAsia="仿宋" w:hAnsi="仿宋" w:cs="Tahoma" w:hint="eastAsia"/>
          <w:color w:val="000000"/>
          <w:kern w:val="0"/>
          <w:sz w:val="32"/>
          <w:szCs w:val="32"/>
        </w:rPr>
        <w:t>我单位本年度未安排政府采购预算</w:t>
      </w:r>
      <w:r>
        <w:rPr>
          <w:rFonts w:ascii="仿宋" w:eastAsia="仿宋" w:hAnsi="仿宋" w:cs="Tahoma" w:hint="eastAsia"/>
          <w:color w:val="000000"/>
          <w:kern w:val="0"/>
          <w:sz w:val="32"/>
          <w:szCs w:val="32"/>
        </w:rPr>
        <w:t>。</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七、国有资产信息情况</w:t>
      </w:r>
    </w:p>
    <w:p w:rsidR="0069730B" w:rsidRPr="000B597D" w:rsidRDefault="00F447B7" w:rsidP="00A61E6D">
      <w:pPr>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2019</w:t>
      </w:r>
      <w:bookmarkStart w:id="0" w:name="_GoBack"/>
      <w:bookmarkEnd w:id="0"/>
      <w:r w:rsidR="0069730B" w:rsidRPr="0069730B">
        <w:rPr>
          <w:rFonts w:ascii="仿宋" w:eastAsia="仿宋" w:hAnsi="仿宋" w:cs="Tahoma" w:hint="eastAsia"/>
          <w:color w:val="000000"/>
          <w:kern w:val="0"/>
          <w:sz w:val="32"/>
          <w:szCs w:val="32"/>
        </w:rPr>
        <w:t>年末，我单位固定资产总额0.78万元，其中台式电脑0.48万元，打印机0.15万元，音响0.15万元。</w:t>
      </w:r>
      <w:r w:rsidR="000B597D" w:rsidRPr="000B597D">
        <w:rPr>
          <w:rFonts w:ascii="仿宋" w:eastAsia="仿宋" w:hAnsi="仿宋" w:cs="Tahoma" w:hint="eastAsia"/>
          <w:color w:val="000000"/>
          <w:kern w:val="0"/>
          <w:sz w:val="32"/>
          <w:szCs w:val="32"/>
        </w:rPr>
        <w:t>本年度拟不购置国有资产。</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八、专业名词解释</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b w:val="0"/>
          <w:bCs w:val="0"/>
          <w:sz w:val="32"/>
          <w:szCs w:val="32"/>
        </w:rPr>
        <w:t>1、一般</w:t>
      </w:r>
      <w:r w:rsidR="006B5C1E">
        <w:rPr>
          <w:rStyle w:val="a6"/>
          <w:rFonts w:ascii="仿宋" w:eastAsia="仿宋" w:hAnsi="仿宋" w:cs="Times New Roman" w:hint="eastAsia"/>
          <w:b w:val="0"/>
          <w:bCs w:val="0"/>
          <w:sz w:val="32"/>
          <w:szCs w:val="32"/>
        </w:rPr>
        <w:t>公</w:t>
      </w:r>
      <w:r w:rsidRPr="000555F7">
        <w:rPr>
          <w:rStyle w:val="a6"/>
          <w:rFonts w:ascii="仿宋" w:eastAsia="仿宋" w:hAnsi="仿宋" w:cs="Times New Roman"/>
          <w:b w:val="0"/>
          <w:bCs w:val="0"/>
          <w:sz w:val="32"/>
          <w:szCs w:val="32"/>
        </w:rPr>
        <w:t xml:space="preserve">共预算拨款收入：指省级财政当年拨付的资金。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2</w:t>
      </w:r>
      <w:r w:rsidRPr="000555F7">
        <w:rPr>
          <w:rStyle w:val="a6"/>
          <w:rFonts w:ascii="仿宋" w:eastAsia="仿宋" w:hAnsi="仿宋" w:cs="Times New Roman"/>
          <w:b w:val="0"/>
          <w:bCs w:val="0"/>
          <w:sz w:val="32"/>
          <w:szCs w:val="32"/>
        </w:rPr>
        <w:t xml:space="preserve">、其他收入：指除上述“财政拨款收入”、“事业收入”等以外的收入。主要是按规定动用的租房 收入、存款利息收入、中国清洁发展基金拨入的管理费等。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lastRenderedPageBreak/>
        <w:t>3</w:t>
      </w:r>
      <w:r w:rsidRPr="000555F7">
        <w:rPr>
          <w:rStyle w:val="a6"/>
          <w:rFonts w:ascii="仿宋" w:eastAsia="仿宋" w:hAnsi="仿宋" w:cs="Times New Roman"/>
          <w:b w:val="0"/>
          <w:bCs w:val="0"/>
          <w:sz w:val="32"/>
          <w:szCs w:val="32"/>
        </w:rPr>
        <w:t>、基本支出：指为保障机构正常运转、完成日常工作任务而发生的人员支出和公用支出。</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4</w:t>
      </w:r>
      <w:r w:rsidRPr="000555F7">
        <w:rPr>
          <w:rStyle w:val="a6"/>
          <w:rFonts w:ascii="仿宋" w:eastAsia="仿宋" w:hAnsi="仿宋" w:cs="Times New Roman"/>
          <w:b w:val="0"/>
          <w:bCs w:val="0"/>
          <w:sz w:val="32"/>
          <w:szCs w:val="32"/>
        </w:rPr>
        <w:t xml:space="preserve">、项目支出：指在基本支出之外为完成特定行政任务和事业发展目标所发生的支出。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5</w:t>
      </w:r>
      <w:r w:rsidRPr="000555F7">
        <w:rPr>
          <w:rStyle w:val="a6"/>
          <w:rFonts w:ascii="仿宋" w:eastAsia="仿宋" w:hAnsi="仿宋" w:cs="Times New Roman"/>
          <w:b w:val="0"/>
          <w:bCs w:val="0"/>
          <w:sz w:val="32"/>
          <w:szCs w:val="32"/>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69730B" w:rsidRPr="000555F7" w:rsidRDefault="000555F7" w:rsidP="000555F7">
      <w:pPr>
        <w:pStyle w:val="a5"/>
        <w:shd w:val="clear" w:color="auto" w:fill="FFFFFF"/>
        <w:spacing w:before="0" w:beforeAutospacing="0" w:after="0" w:afterAutospacing="0" w:line="570" w:lineRule="exact"/>
        <w:ind w:firstLineChars="200" w:firstLine="640"/>
        <w:rPr>
          <w:rFonts w:ascii="仿宋" w:eastAsia="仿宋" w:hAnsi="仿宋" w:cs="Times New Roman"/>
          <w:sz w:val="32"/>
          <w:szCs w:val="32"/>
        </w:rPr>
      </w:pPr>
      <w:r w:rsidRPr="000555F7">
        <w:rPr>
          <w:rStyle w:val="a6"/>
          <w:rFonts w:ascii="仿宋" w:eastAsia="仿宋" w:hAnsi="仿宋" w:cs="Times New Roman" w:hint="eastAsia"/>
          <w:b w:val="0"/>
          <w:bCs w:val="0"/>
          <w:sz w:val="32"/>
          <w:szCs w:val="32"/>
        </w:rPr>
        <w:t>6</w:t>
      </w:r>
      <w:r w:rsidRPr="000555F7">
        <w:rPr>
          <w:rStyle w:val="a6"/>
          <w:rFonts w:ascii="仿宋" w:eastAsia="仿宋" w:hAnsi="仿宋" w:cs="Times New Roman"/>
          <w:b w:val="0"/>
          <w:bCs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九、其他需说明的事项</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无其他需说明的事项。</w:t>
      </w:r>
    </w:p>
    <w:p w:rsidR="00A846F2" w:rsidRPr="0069730B" w:rsidRDefault="00A846F2"/>
    <w:sectPr w:rsidR="00A846F2" w:rsidRPr="0069730B" w:rsidSect="0008667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2C2" w:rsidRDefault="00D662C2" w:rsidP="00393735">
      <w:r>
        <w:separator/>
      </w:r>
    </w:p>
  </w:endnote>
  <w:endnote w:type="continuationSeparator" w:id="1">
    <w:p w:rsidR="00D662C2" w:rsidRDefault="00D662C2" w:rsidP="00393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2C2" w:rsidRDefault="00D662C2" w:rsidP="00393735">
      <w:r>
        <w:separator/>
      </w:r>
    </w:p>
  </w:footnote>
  <w:footnote w:type="continuationSeparator" w:id="1">
    <w:p w:rsidR="00D662C2" w:rsidRDefault="00D662C2" w:rsidP="00393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7D" w:rsidRDefault="000B597D" w:rsidP="00A61E6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30B"/>
    <w:rsid w:val="000555F7"/>
    <w:rsid w:val="00064159"/>
    <w:rsid w:val="0008667B"/>
    <w:rsid w:val="000A1F8F"/>
    <w:rsid w:val="000A24DF"/>
    <w:rsid w:val="000B597D"/>
    <w:rsid w:val="000F6CD5"/>
    <w:rsid w:val="001B5912"/>
    <w:rsid w:val="00230628"/>
    <w:rsid w:val="002338B0"/>
    <w:rsid w:val="00257776"/>
    <w:rsid w:val="00393735"/>
    <w:rsid w:val="003C23FE"/>
    <w:rsid w:val="003F10D5"/>
    <w:rsid w:val="00474570"/>
    <w:rsid w:val="00504817"/>
    <w:rsid w:val="00506ED7"/>
    <w:rsid w:val="0061754E"/>
    <w:rsid w:val="00665478"/>
    <w:rsid w:val="00694F29"/>
    <w:rsid w:val="0069730B"/>
    <w:rsid w:val="006B5C1E"/>
    <w:rsid w:val="00773832"/>
    <w:rsid w:val="007753DD"/>
    <w:rsid w:val="00900C1F"/>
    <w:rsid w:val="009535B7"/>
    <w:rsid w:val="00A61E6D"/>
    <w:rsid w:val="00A70D92"/>
    <w:rsid w:val="00A846F2"/>
    <w:rsid w:val="00AC0C7E"/>
    <w:rsid w:val="00AD101C"/>
    <w:rsid w:val="00AE4EB7"/>
    <w:rsid w:val="00AF7C8B"/>
    <w:rsid w:val="00B15170"/>
    <w:rsid w:val="00CF1965"/>
    <w:rsid w:val="00D506C8"/>
    <w:rsid w:val="00D662C2"/>
    <w:rsid w:val="00DA05A2"/>
    <w:rsid w:val="00DB0924"/>
    <w:rsid w:val="00E7574E"/>
    <w:rsid w:val="00E93D48"/>
    <w:rsid w:val="00EA3C58"/>
    <w:rsid w:val="00EF362C"/>
    <w:rsid w:val="00F14B1C"/>
    <w:rsid w:val="00F44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 w:type="paragraph" w:styleId="a7">
    <w:name w:val="Document Map"/>
    <w:basedOn w:val="a"/>
    <w:link w:val="Char1"/>
    <w:uiPriority w:val="99"/>
    <w:semiHidden/>
    <w:unhideWhenUsed/>
    <w:rsid w:val="006B5C1E"/>
    <w:rPr>
      <w:rFonts w:ascii="宋体" w:eastAsia="宋体"/>
      <w:sz w:val="18"/>
      <w:szCs w:val="18"/>
    </w:rPr>
  </w:style>
  <w:style w:type="character" w:customStyle="1" w:styleId="Char1">
    <w:name w:val="文档结构图 Char"/>
    <w:basedOn w:val="a0"/>
    <w:link w:val="a7"/>
    <w:uiPriority w:val="99"/>
    <w:semiHidden/>
    <w:rsid w:val="006B5C1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s>
</file>

<file path=word/webSettings.xml><?xml version="1.0" encoding="utf-8"?>
<w:webSettings xmlns:r="http://schemas.openxmlformats.org/officeDocument/2006/relationships" xmlns:w="http://schemas.openxmlformats.org/wordprocessingml/2006/main">
  <w:divs>
    <w:div w:id="11037634">
      <w:bodyDiv w:val="1"/>
      <w:marLeft w:val="0"/>
      <w:marRight w:val="0"/>
      <w:marTop w:val="0"/>
      <w:marBottom w:val="0"/>
      <w:divBdr>
        <w:top w:val="none" w:sz="0" w:space="0" w:color="auto"/>
        <w:left w:val="none" w:sz="0" w:space="0" w:color="auto"/>
        <w:bottom w:val="none" w:sz="0" w:space="0" w:color="auto"/>
        <w:right w:val="none" w:sz="0" w:space="0" w:color="auto"/>
      </w:divBdr>
    </w:div>
    <w:div w:id="126359131">
      <w:bodyDiv w:val="1"/>
      <w:marLeft w:val="0"/>
      <w:marRight w:val="0"/>
      <w:marTop w:val="0"/>
      <w:marBottom w:val="0"/>
      <w:divBdr>
        <w:top w:val="none" w:sz="0" w:space="0" w:color="auto"/>
        <w:left w:val="none" w:sz="0" w:space="0" w:color="auto"/>
        <w:bottom w:val="none" w:sz="0" w:space="0" w:color="auto"/>
        <w:right w:val="none" w:sz="0" w:space="0" w:color="auto"/>
      </w:divBdr>
    </w:div>
    <w:div w:id="175537384">
      <w:bodyDiv w:val="1"/>
      <w:marLeft w:val="0"/>
      <w:marRight w:val="0"/>
      <w:marTop w:val="0"/>
      <w:marBottom w:val="0"/>
      <w:divBdr>
        <w:top w:val="none" w:sz="0" w:space="0" w:color="auto"/>
        <w:left w:val="none" w:sz="0" w:space="0" w:color="auto"/>
        <w:bottom w:val="none" w:sz="0" w:space="0" w:color="auto"/>
        <w:right w:val="none" w:sz="0" w:space="0" w:color="auto"/>
      </w:divBdr>
    </w:div>
    <w:div w:id="638651505">
      <w:bodyDiv w:val="1"/>
      <w:marLeft w:val="0"/>
      <w:marRight w:val="0"/>
      <w:marTop w:val="0"/>
      <w:marBottom w:val="0"/>
      <w:divBdr>
        <w:top w:val="none" w:sz="0" w:space="0" w:color="auto"/>
        <w:left w:val="none" w:sz="0" w:space="0" w:color="auto"/>
        <w:bottom w:val="none" w:sz="0" w:space="0" w:color="auto"/>
        <w:right w:val="none" w:sz="0" w:space="0" w:color="auto"/>
      </w:divBdr>
    </w:div>
    <w:div w:id="977995273">
      <w:bodyDiv w:val="1"/>
      <w:marLeft w:val="0"/>
      <w:marRight w:val="0"/>
      <w:marTop w:val="0"/>
      <w:marBottom w:val="0"/>
      <w:divBdr>
        <w:top w:val="none" w:sz="0" w:space="0" w:color="auto"/>
        <w:left w:val="none" w:sz="0" w:space="0" w:color="auto"/>
        <w:bottom w:val="none" w:sz="0" w:space="0" w:color="auto"/>
        <w:right w:val="none" w:sz="0" w:space="0" w:color="auto"/>
      </w:divBdr>
    </w:div>
    <w:div w:id="1013536929">
      <w:bodyDiv w:val="1"/>
      <w:marLeft w:val="0"/>
      <w:marRight w:val="0"/>
      <w:marTop w:val="0"/>
      <w:marBottom w:val="0"/>
      <w:divBdr>
        <w:top w:val="none" w:sz="0" w:space="0" w:color="auto"/>
        <w:left w:val="none" w:sz="0" w:space="0" w:color="auto"/>
        <w:bottom w:val="none" w:sz="0" w:space="0" w:color="auto"/>
        <w:right w:val="none" w:sz="0" w:space="0" w:color="auto"/>
      </w:divBdr>
    </w:div>
    <w:div w:id="1166703354">
      <w:bodyDiv w:val="1"/>
      <w:marLeft w:val="0"/>
      <w:marRight w:val="0"/>
      <w:marTop w:val="0"/>
      <w:marBottom w:val="0"/>
      <w:divBdr>
        <w:top w:val="none" w:sz="0" w:space="0" w:color="auto"/>
        <w:left w:val="none" w:sz="0" w:space="0" w:color="auto"/>
        <w:bottom w:val="none" w:sz="0" w:space="0" w:color="auto"/>
        <w:right w:val="none" w:sz="0" w:space="0" w:color="auto"/>
      </w:divBdr>
    </w:div>
    <w:div w:id="1319116176">
      <w:bodyDiv w:val="1"/>
      <w:marLeft w:val="0"/>
      <w:marRight w:val="0"/>
      <w:marTop w:val="0"/>
      <w:marBottom w:val="0"/>
      <w:divBdr>
        <w:top w:val="none" w:sz="0" w:space="0" w:color="auto"/>
        <w:left w:val="none" w:sz="0" w:space="0" w:color="auto"/>
        <w:bottom w:val="none" w:sz="0" w:space="0" w:color="auto"/>
        <w:right w:val="none" w:sz="0" w:space="0" w:color="auto"/>
      </w:divBdr>
    </w:div>
    <w:div w:id="19689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Lenovo</cp:lastModifiedBy>
  <cp:revision>18</cp:revision>
  <dcterms:created xsi:type="dcterms:W3CDTF">2018-06-22T02:34:00Z</dcterms:created>
  <dcterms:modified xsi:type="dcterms:W3CDTF">2020-05-27T07:39:00Z</dcterms:modified>
</cp:coreProperties>
</file>