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0BFD2">
      <w:pPr>
        <w:pStyle w:val="5"/>
        <w:widowControl/>
        <w:spacing w:line="570" w:lineRule="exact"/>
        <w:rPr>
          <w:rFonts w:ascii="方正小标宋简体" w:hAnsi="宋体" w:eastAsia="方正小标宋简体" w:cs="方正小标宋简体"/>
          <w:b w:val="0"/>
          <w:sz w:val="40"/>
          <w:szCs w:val="40"/>
        </w:rPr>
      </w:pPr>
      <w:r>
        <w:rPr>
          <w:rFonts w:hint="eastAsia" w:ascii="方正小标宋简体" w:hAnsi="宋体" w:eastAsia="方正小标宋简体" w:cs="方正小标宋简体"/>
          <w:b w:val="0"/>
          <w:sz w:val="40"/>
          <w:szCs w:val="40"/>
        </w:rPr>
        <w:t>芦台经济开发区财政局2021年度</w:t>
      </w:r>
    </w:p>
    <w:p w14:paraId="0E9B87AD">
      <w:pPr>
        <w:pStyle w:val="5"/>
        <w:widowControl/>
        <w:spacing w:line="570" w:lineRule="exact"/>
        <w:rPr>
          <w:rFonts w:ascii="方正小标宋简体" w:hAnsi="宋体" w:eastAsia="方正小标宋简体" w:cs="方正小标宋简体"/>
          <w:b w:val="0"/>
          <w:sz w:val="40"/>
          <w:szCs w:val="40"/>
        </w:rPr>
      </w:pPr>
      <w:r>
        <w:rPr>
          <w:rFonts w:hint="eastAsia" w:ascii="方正小标宋简体" w:hAnsi="宋体" w:eastAsia="方正小标宋简体" w:cs="方正小标宋简体"/>
          <w:b w:val="0"/>
          <w:sz w:val="40"/>
          <w:szCs w:val="40"/>
        </w:rPr>
        <w:t>购买保安服务项目专项资金绩效评价报告</w:t>
      </w:r>
    </w:p>
    <w:p w14:paraId="6D4153EC">
      <w:pPr>
        <w:spacing w:line="570" w:lineRule="exact"/>
      </w:pPr>
    </w:p>
    <w:p w14:paraId="01AB2F97">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为促进单位从整体上提升预算绩效管理工作水平，提高财政资金使用效益，保障部门更好地履行职责，指导预算编制，为优化财政支出结构提供决策参考和依据，根据《财政部关于印发&lt;财政支出绩效评价管理暂行办法&gt;的通知》（财预〔2011〕285号）、《中共河北省委 河北省人民政府关于全面实施预算绩效管理的实施意见》（冀发〔2018〕54号）、《中共唐山市委 唐山市人民政府关于全面实施预算绩效管理的实施意见》（唐发〔2019〕22号）等文件精神，财政局对2021年度教育局购买保安服务项目专项资金实施财政绩效评价，在单位绩效自评的基础上，从预算执行、履职效益等方面进行了综合评价。现将绩效评价有关情况报告如下：</w:t>
      </w:r>
    </w:p>
    <w:p w14:paraId="08F29464">
      <w:pPr>
        <w:spacing w:line="570" w:lineRule="exact"/>
        <w:ind w:firstLine="640" w:firstLineChars="200"/>
        <w:rPr>
          <w:rFonts w:ascii="方正仿宋简体" w:hAnsi="宋体" w:eastAsia="方正仿宋简体" w:cs="黑体"/>
          <w:sz w:val="32"/>
          <w:szCs w:val="32"/>
        </w:rPr>
      </w:pPr>
      <w:r>
        <w:rPr>
          <w:rFonts w:hint="eastAsia" w:ascii="方正仿宋简体" w:hAnsi="宋体" w:eastAsia="方正仿宋简体" w:cs="黑体"/>
          <w:sz w:val="32"/>
          <w:szCs w:val="32"/>
        </w:rPr>
        <w:t>一、项目基本情况</w:t>
      </w:r>
    </w:p>
    <w:p w14:paraId="7E3BC021">
      <w:pPr>
        <w:ind w:firstLine="640" w:firstLineChars="200"/>
        <w:rPr>
          <w:rFonts w:ascii="方正仿宋简体" w:hAnsi="方正楷体简体" w:eastAsia="方正仿宋简体" w:cs="方正楷体简体"/>
          <w:sz w:val="32"/>
          <w:szCs w:val="32"/>
        </w:rPr>
      </w:pPr>
      <w:r>
        <w:rPr>
          <w:rFonts w:hint="eastAsia" w:ascii="方正仿宋简体" w:hAnsi="方正楷体简体" w:eastAsia="方正仿宋简体" w:cs="方正楷体简体"/>
          <w:sz w:val="32"/>
          <w:szCs w:val="32"/>
        </w:rPr>
        <w:t>（一）项目背景</w:t>
      </w:r>
    </w:p>
    <w:p w14:paraId="2216B9FD">
      <w:pPr>
        <w:ind w:firstLine="640" w:firstLineChars="200"/>
        <w:rPr>
          <w:rFonts w:ascii="方正仿宋简体" w:eastAsia="方正仿宋简体"/>
          <w:sz w:val="32"/>
          <w:szCs w:val="32"/>
        </w:rPr>
      </w:pPr>
      <w:r>
        <w:rPr>
          <w:rFonts w:hint="eastAsia" w:ascii="方正仿宋简体" w:eastAsia="方正仿宋简体"/>
          <w:sz w:val="32"/>
          <w:szCs w:val="32"/>
        </w:rPr>
        <w:t>为进一步加强我区区属16所中小学及幼儿园校园防安全防范工作，切实保障广大在校师生人身安全及财产安全，维护学校正常的教学、生活秩序。根据省文件《关于进一步加强学校及周边治安防范工作的意见》（冀教安〔2019〕7号），芦台经济开发区管委会决定由政府实施购买保安服务项目并由芦台经济开发区教育局与唐山基石保安服务有限公司签订合同，合同有效期为三年，自2020年8月1日起至2023年7月31日止。双方根据合同约定的范围及相关责任履行合同。</w:t>
      </w:r>
    </w:p>
    <w:p w14:paraId="1EF58982">
      <w:pPr>
        <w:numPr>
          <w:ilvl w:val="0"/>
          <w:numId w:val="1"/>
        </w:numPr>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绩效目标</w:t>
      </w:r>
    </w:p>
    <w:p w14:paraId="5BB7FC12">
      <w:pPr>
        <w:ind w:firstLine="640" w:firstLineChars="200"/>
        <w:rPr>
          <w:rFonts w:ascii="方正楷体简体" w:hAnsi="方正楷体简体" w:eastAsia="方正楷体简体" w:cs="方正楷体简体"/>
          <w:sz w:val="32"/>
          <w:szCs w:val="32"/>
        </w:rPr>
      </w:pPr>
      <w:r>
        <w:rPr>
          <w:rFonts w:hint="eastAsia" w:ascii="方正仿宋简体" w:hAnsi="方正仿宋简体" w:eastAsia="方正仿宋简体" w:cs="方正仿宋简体"/>
          <w:sz w:val="32"/>
          <w:szCs w:val="32"/>
        </w:rPr>
        <w:t>通过对芦台经济开发区教育局进行财政补贴，完善政策支持，核定本项目绩效目标：</w:t>
      </w:r>
    </w:p>
    <w:p w14:paraId="556E5D4B">
      <w:pPr>
        <w:rPr>
          <w:rFonts w:ascii="方正仿宋简体" w:eastAsia="方正仿宋简体"/>
          <w:sz w:val="32"/>
          <w:szCs w:val="32"/>
        </w:rPr>
      </w:pPr>
      <w:r>
        <w:rPr>
          <w:rFonts w:hint="eastAsia" w:ascii="方正仿宋简体" w:eastAsia="方正仿宋简体"/>
          <w:sz w:val="32"/>
          <w:szCs w:val="32"/>
        </w:rPr>
        <w:t xml:space="preserve">  为全区公办中小学、幼儿园提供24名安保服务，极大的提升学校的安全防范水平，确保区属16个学校在校师生的人身、财产安全，维护学校周边良好的安全秩序和交通秩序。</w:t>
      </w:r>
    </w:p>
    <w:p w14:paraId="691C0A62">
      <w:pPr>
        <w:spacing w:line="570" w:lineRule="exact"/>
        <w:ind w:firstLine="640" w:firstLineChars="200"/>
        <w:rPr>
          <w:rFonts w:ascii="黑体" w:hAnsi="宋体" w:eastAsia="黑体" w:cs="黑体"/>
          <w:color w:val="000000"/>
          <w:sz w:val="32"/>
          <w:szCs w:val="32"/>
        </w:rPr>
      </w:pPr>
      <w:r>
        <w:rPr>
          <w:rFonts w:hint="eastAsia" w:ascii="黑体" w:hAnsi="宋体" w:eastAsia="黑体" w:cs="黑体"/>
          <w:color w:val="000000"/>
          <w:sz w:val="32"/>
          <w:szCs w:val="32"/>
        </w:rPr>
        <w:t>二、绩效评价工作情况</w:t>
      </w:r>
    </w:p>
    <w:p w14:paraId="221F8E72">
      <w:pPr>
        <w:spacing w:line="570" w:lineRule="exact"/>
        <w:ind w:firstLine="640" w:firstLineChars="200"/>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（一）绩效评价目的</w:t>
      </w:r>
    </w:p>
    <w:p w14:paraId="04B52B06">
      <w:pPr>
        <w:spacing w:line="57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项目绩效评价是围绕项目整体目标的实现和产出情况的综合评价，对一个项目开展绩效评价能够洞悉资源配置的有效情况以及实施过程中所遇到的实际问题和反馈，从而可以从更加宏观的层面把握项目资源配置的合理性和资金运用效益，对项目进行及时的调整和完善。</w:t>
      </w:r>
    </w:p>
    <w:p w14:paraId="29D73FD7">
      <w:pPr>
        <w:spacing w:line="570" w:lineRule="exact"/>
        <w:ind w:firstLine="640" w:firstLineChars="200"/>
        <w:rPr>
          <w:rFonts w:ascii="方正仿宋简体" w:hAnsi="宋体" w:eastAsia="方正仿宋简体" w:cs="方正仿宋简体"/>
          <w:color w:val="000000"/>
          <w:sz w:val="32"/>
          <w:szCs w:val="32"/>
        </w:rPr>
      </w:pPr>
      <w:r>
        <w:rPr>
          <w:rFonts w:hint="eastAsia" w:ascii="方正仿宋简体" w:hAnsi="宋体" w:eastAsia="方正仿宋简体" w:cs="方正仿宋简体"/>
          <w:color w:val="000000"/>
          <w:sz w:val="32"/>
          <w:szCs w:val="32"/>
        </w:rPr>
        <w:t>根据项目资金设定绩效目标，全面审查项目资金使用合规性、台账建立情况、2021年度政府购买保安服务专项资金的使用情况和取得的成效，综合分析评价专项资金的分配使用情况，及时发现问题、强化改进措施、注重总结经验，进一步加强和规范项目资金的使用管理，切实提高财政资金使用效益和项目绩效管理水平，聚焦民生发展，与以后年度预算编制和绩效目标形成关联机制，为优化财政支出结构提供决策参考和依据。</w:t>
      </w:r>
    </w:p>
    <w:p w14:paraId="5ADF39B7">
      <w:pPr>
        <w:spacing w:line="57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w:t>
      </w:r>
    </w:p>
    <w:p w14:paraId="77DE6D6B">
      <w:pPr>
        <w:spacing w:line="570" w:lineRule="exact"/>
        <w:ind w:firstLine="640" w:firstLineChars="200"/>
        <w:rPr>
          <w:rFonts w:ascii="方正仿宋简体" w:hAnsi="宋体" w:eastAsia="方正仿宋简体" w:cs="方正仿宋简体"/>
          <w:bCs/>
          <w:sz w:val="32"/>
          <w:szCs w:val="32"/>
        </w:rPr>
      </w:pPr>
      <w:r>
        <w:rPr>
          <w:rFonts w:hint="eastAsia" w:ascii="方正仿宋简体" w:hAnsi="宋体" w:eastAsia="方正仿宋简体" w:cs="方正仿宋简体"/>
          <w:bCs/>
          <w:sz w:val="32"/>
          <w:szCs w:val="32"/>
        </w:rPr>
        <w:t>1.绩效评价原则</w:t>
      </w:r>
    </w:p>
    <w:p w14:paraId="2D6A7CDF">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财政支出绩效评价应当遵循以下基本原则：</w:t>
      </w:r>
    </w:p>
    <w:p w14:paraId="50299E7F">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（1）科学规范原则。绩效评价应当注重财政支出的效率性和有效性，严格执行规定的程序。</w:t>
      </w:r>
    </w:p>
    <w:p w14:paraId="70F0A0F7">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（2）公正公开原则。绩效评价应当客观、公正，标准统一、资料可靠，依法公开并接受监督。</w:t>
      </w:r>
    </w:p>
    <w:p w14:paraId="07C8F8E4">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（3）绩效相关原则。绩效评价应当针对具体支出及其产出绩效进行，评价结果应清晰反映支出和产出绩效之间的相互对应关系。</w:t>
      </w:r>
    </w:p>
    <w:p w14:paraId="64AC4353">
      <w:pPr>
        <w:spacing w:line="570" w:lineRule="exact"/>
        <w:ind w:firstLine="640" w:firstLineChars="200"/>
        <w:rPr>
          <w:rFonts w:ascii="方正仿宋简体" w:hAnsi="宋体" w:eastAsia="方正仿宋简体" w:cs="方正仿宋简体"/>
          <w:b/>
          <w:sz w:val="32"/>
          <w:szCs w:val="32"/>
        </w:rPr>
      </w:pPr>
      <w:r>
        <w:rPr>
          <w:rFonts w:hint="eastAsia" w:ascii="方正仿宋简体" w:hAnsi="宋体" w:eastAsia="方正仿宋简体" w:cs="方正仿宋简体"/>
          <w:bCs/>
          <w:sz w:val="32"/>
          <w:szCs w:val="32"/>
        </w:rPr>
        <w:t>2.评价方法</w:t>
      </w:r>
    </w:p>
    <w:p w14:paraId="7C8B0E87">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本次绩效评价由财政局和教育局协调相关单位开展工作，通过分析政府购买保安服务项目相关材料、购买保安服务资金执行情况、财政资金绩效目标完成情况和实地调研，对财政资金政策的公平性、资金使用的规范性、资金分配的合理性、资金拨付的及时性、资金使用的有效性以及产出效果的有效性等进行综合分析，形成绩效评价报告。</w:t>
      </w:r>
    </w:p>
    <w:p w14:paraId="0F017205">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评价方法坚持全面核查与综合分析相结合的方式，评价项目实施绩效。</w:t>
      </w:r>
    </w:p>
    <w:p w14:paraId="762150D3">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3.评价标准及依据</w:t>
      </w:r>
    </w:p>
    <w:p w14:paraId="797A90CE">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《芦台经济开发区区级部门预算绩效管理办法》（芦财绩〔2019〕4号）</w:t>
      </w:r>
    </w:p>
    <w:p w14:paraId="7CA0A0F6">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《芦台经济开发区区级部门（单位）预算绩效管理工作考核办法（试行）》（芦财绩〔2019〕5号）</w:t>
      </w:r>
    </w:p>
    <w:p w14:paraId="37901369">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《芦台经济开发区开发区区级项目支出绩效自评办</w:t>
      </w:r>
      <w:bookmarkStart w:id="0" w:name="_GoBack"/>
      <w:bookmarkEnd w:id="0"/>
      <w:r>
        <w:rPr>
          <w:rFonts w:hint="eastAsia" w:ascii="方正仿宋简体" w:hAnsi="宋体" w:eastAsia="方正仿宋简体" w:cs="方正仿宋简体"/>
          <w:sz w:val="32"/>
          <w:szCs w:val="32"/>
        </w:rPr>
        <w:t>法》（芦财绩〔2020〕2号）</w:t>
      </w:r>
    </w:p>
    <w:p w14:paraId="045CC207">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《芦台经济开发区项目支出绩效评价管理办法》（芦财绩〔2020〕5号）文件</w:t>
      </w:r>
    </w:p>
    <w:p w14:paraId="5B2DBD96">
      <w:pPr>
        <w:pStyle w:val="4"/>
        <w:spacing w:before="0" w:beforeAutospacing="0" w:after="0" w:afterAutospacing="0" w:line="570" w:lineRule="exact"/>
        <w:ind w:firstLine="640" w:firstLineChars="200"/>
        <w:jc w:val="both"/>
        <w:rPr>
          <w:rFonts w:ascii="方正仿宋简体" w:eastAsia="方正仿宋简体" w:cs="方正仿宋简体"/>
          <w:bCs/>
          <w:color w:val="333333"/>
          <w:sz w:val="32"/>
          <w:szCs w:val="32"/>
        </w:rPr>
      </w:pPr>
      <w:r>
        <w:rPr>
          <w:rFonts w:hint="eastAsia" w:ascii="方正仿宋简体" w:eastAsia="方正仿宋简体" w:cs="方正仿宋简体"/>
          <w:bCs/>
          <w:color w:val="333333"/>
          <w:sz w:val="32"/>
          <w:szCs w:val="32"/>
        </w:rPr>
        <w:t>4．分析评价</w:t>
      </w:r>
    </w:p>
    <w:p w14:paraId="02684F9A">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财政局预算绩效科根据上述工作取得的资料和自评结果，结合实地考察情况，对项目实施情况、绩效分析与结论、主要经验与做法、存在的问题和建议等内容进行综合分析，出具财政评价报告。</w:t>
      </w:r>
    </w:p>
    <w:p w14:paraId="346F51B9">
      <w:pPr>
        <w:pStyle w:val="4"/>
        <w:spacing w:before="0" w:beforeAutospacing="0" w:after="0" w:afterAutospacing="0" w:line="570" w:lineRule="exact"/>
        <w:ind w:firstLine="640" w:firstLineChars="200"/>
        <w:jc w:val="both"/>
        <w:rPr>
          <w:rFonts w:ascii="黑体" w:hAnsi="黑体" w:eastAsia="黑体" w:cs="Times New Roman"/>
          <w:color w:val="333333"/>
          <w:sz w:val="32"/>
          <w:szCs w:val="32"/>
        </w:rPr>
      </w:pPr>
      <w:r>
        <w:rPr>
          <w:rFonts w:hint="eastAsia" w:ascii="黑体" w:hAnsi="黑体" w:eastAsia="黑体" w:cs="Times New Roman"/>
          <w:color w:val="333333"/>
          <w:sz w:val="32"/>
          <w:szCs w:val="32"/>
        </w:rPr>
        <w:t>三、绩效评价指标分析情况</w:t>
      </w:r>
    </w:p>
    <w:p w14:paraId="4BCE2858">
      <w:pPr>
        <w:spacing w:line="57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（一）专项资金政策情况</w:t>
      </w:r>
    </w:p>
    <w:p w14:paraId="50095EAD">
      <w:pPr>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为进一步提升政府购买保安服务项目专项资金使用管理的规范性、有效性，进一步加强财政专项新能源公交补贴资金管理工作，切实提高财政资金使用效益。依据文件以下文件开展工作：</w:t>
      </w:r>
    </w:p>
    <w:p w14:paraId="4BD089CC">
      <w:pPr>
        <w:rPr>
          <w:rFonts w:ascii="方正仿宋简体" w:eastAsia="方正仿宋简体"/>
          <w:sz w:val="32"/>
          <w:szCs w:val="32"/>
        </w:rPr>
      </w:pPr>
      <w:r>
        <w:rPr>
          <w:rFonts w:ascii="方正仿宋简体" w:eastAsia="方正仿宋简体"/>
          <w:sz w:val="32"/>
          <w:szCs w:val="32"/>
        </w:rPr>
        <w:t>《</w:t>
      </w:r>
      <w:r>
        <w:rPr>
          <w:rFonts w:hint="eastAsia" w:ascii="方正仿宋简体" w:eastAsia="方正仿宋简体"/>
          <w:sz w:val="32"/>
          <w:szCs w:val="32"/>
        </w:rPr>
        <w:t>GB29315-2012中小学、幼儿园安全技术防范系统要求</w:t>
      </w:r>
      <w:r>
        <w:rPr>
          <w:rFonts w:ascii="方正仿宋简体" w:eastAsia="方正仿宋简体"/>
          <w:sz w:val="32"/>
          <w:szCs w:val="32"/>
        </w:rPr>
        <w:t>》（国标）</w:t>
      </w:r>
    </w:p>
    <w:p w14:paraId="786431DC">
      <w:pPr>
        <w:rPr>
          <w:rFonts w:ascii="方正仿宋简体" w:eastAsia="方正仿宋简体"/>
          <w:sz w:val="32"/>
          <w:szCs w:val="32"/>
        </w:rPr>
      </w:pPr>
      <w:r>
        <w:rPr>
          <w:rFonts w:hint="eastAsia" w:ascii="方正仿宋简体" w:eastAsia="方正仿宋简体"/>
          <w:sz w:val="32"/>
          <w:szCs w:val="32"/>
        </w:rPr>
        <w:t>《关于在全省中小学校幼儿园聘用专职保安人员及装备技防设施工作的通知》（</w:t>
      </w:r>
      <w:r>
        <w:rPr>
          <w:rFonts w:ascii="方正仿宋简体" w:hAnsi="Calibri" w:eastAsia="方正仿宋简体" w:cs="Times New Roman"/>
          <w:sz w:val="32"/>
          <w:szCs w:val="32"/>
        </w:rPr>
        <w:t>冀教政体〔20</w:t>
      </w:r>
      <w:r>
        <w:rPr>
          <w:rFonts w:hint="eastAsia" w:ascii="方正仿宋简体" w:hAnsi="Calibri" w:eastAsia="方正仿宋简体" w:cs="Times New Roman"/>
          <w:sz w:val="32"/>
          <w:szCs w:val="32"/>
        </w:rPr>
        <w:t>10</w:t>
      </w:r>
      <w:r>
        <w:rPr>
          <w:rFonts w:ascii="方正仿宋简体" w:hAnsi="Calibri" w:eastAsia="方正仿宋简体" w:cs="Times New Roman"/>
          <w:sz w:val="32"/>
          <w:szCs w:val="32"/>
        </w:rPr>
        <w:t>〕</w:t>
      </w:r>
      <w:r>
        <w:rPr>
          <w:rFonts w:hint="eastAsia" w:ascii="方正仿宋简体" w:hAnsi="Calibri" w:eastAsia="方正仿宋简体" w:cs="Times New Roman"/>
          <w:sz w:val="32"/>
          <w:szCs w:val="32"/>
        </w:rPr>
        <w:t>50</w:t>
      </w:r>
      <w:r>
        <w:rPr>
          <w:rFonts w:ascii="方正仿宋简体" w:hAnsi="Calibri" w:eastAsia="方正仿宋简体" w:cs="Times New Roman"/>
          <w:sz w:val="32"/>
          <w:szCs w:val="32"/>
        </w:rPr>
        <w:t>号</w:t>
      </w:r>
      <w:r>
        <w:rPr>
          <w:rFonts w:ascii="方正仿宋简体" w:eastAsia="方正仿宋简体"/>
          <w:sz w:val="32"/>
          <w:szCs w:val="32"/>
        </w:rPr>
        <w:t>）</w:t>
      </w:r>
    </w:p>
    <w:p w14:paraId="3E001318">
      <w:pPr>
        <w:rPr>
          <w:rFonts w:ascii="方正仿宋简体" w:hAnsi="Calibri" w:eastAsia="方正仿宋简体" w:cs="Times New Roman"/>
          <w:sz w:val="32"/>
          <w:szCs w:val="32"/>
        </w:rPr>
      </w:pPr>
      <w:r>
        <w:rPr>
          <w:rFonts w:ascii="方正仿宋简体" w:hAnsi="Calibri" w:eastAsia="方正仿宋简体" w:cs="Times New Roman"/>
          <w:sz w:val="32"/>
          <w:szCs w:val="32"/>
        </w:rPr>
        <w:t>《河北省学校安全条例》（河北省第十三届人民代表大会常务委员会公告第</w:t>
      </w:r>
      <w:r>
        <w:rPr>
          <w:rFonts w:hint="eastAsia" w:ascii="方正仿宋简体" w:hAnsi="Calibri" w:eastAsia="方正仿宋简体" w:cs="Times New Roman"/>
          <w:sz w:val="32"/>
          <w:szCs w:val="32"/>
        </w:rPr>
        <w:t>38号</w:t>
      </w:r>
      <w:r>
        <w:rPr>
          <w:rFonts w:ascii="方正仿宋简体" w:hAnsi="Calibri" w:eastAsia="方正仿宋简体" w:cs="Times New Roman"/>
          <w:sz w:val="32"/>
          <w:szCs w:val="32"/>
        </w:rPr>
        <w:t>）</w:t>
      </w:r>
    </w:p>
    <w:p w14:paraId="243B51BA">
      <w:pPr>
        <w:rPr>
          <w:rFonts w:ascii="方正仿宋简体" w:hAnsi="Calibri" w:eastAsia="方正仿宋简体" w:cs="Times New Roman"/>
          <w:sz w:val="32"/>
          <w:szCs w:val="32"/>
        </w:rPr>
      </w:pPr>
      <w:r>
        <w:rPr>
          <w:rFonts w:hint="eastAsia" w:ascii="方正仿宋简体" w:hAnsi="Calibri" w:eastAsia="方正仿宋简体" w:cs="Times New Roman"/>
          <w:sz w:val="32"/>
          <w:szCs w:val="32"/>
        </w:rPr>
        <w:t>《中小学幼儿园安全管理条例》（中华人民共和国教育部令 第23号）</w:t>
      </w:r>
    </w:p>
    <w:p w14:paraId="33924049">
      <w:pPr>
        <w:rPr>
          <w:rFonts w:ascii="方正仿宋简体" w:hAnsi="Calibri" w:eastAsia="方正仿宋简体" w:cs="Times New Roman"/>
          <w:sz w:val="32"/>
          <w:szCs w:val="32"/>
        </w:rPr>
      </w:pPr>
      <w:r>
        <w:rPr>
          <w:rFonts w:ascii="方正仿宋简体" w:hAnsi="Calibri" w:eastAsia="方正仿宋简体" w:cs="Times New Roman"/>
          <w:sz w:val="32"/>
          <w:szCs w:val="32"/>
        </w:rPr>
        <w:t>《</w:t>
      </w:r>
      <w:r>
        <w:rPr>
          <w:rFonts w:hint="eastAsia" w:ascii="方正仿宋简体" w:hAnsi="Calibri" w:eastAsia="方正仿宋简体" w:cs="Times New Roman"/>
          <w:sz w:val="32"/>
          <w:szCs w:val="32"/>
        </w:rPr>
        <w:t>河北省教育厅河北省公安厅关于进一步加强学校及周边治安防范工作的意见</w:t>
      </w:r>
      <w:r>
        <w:rPr>
          <w:rFonts w:ascii="方正仿宋简体" w:hAnsi="Calibri" w:eastAsia="方正仿宋简体" w:cs="Times New Roman"/>
          <w:sz w:val="32"/>
          <w:szCs w:val="32"/>
        </w:rPr>
        <w:t>》（</w:t>
      </w:r>
      <w:r>
        <w:rPr>
          <w:rFonts w:hint="eastAsia" w:ascii="方正仿宋简体" w:hAnsi="Calibri" w:eastAsia="方正仿宋简体" w:cs="Times New Roman"/>
          <w:sz w:val="32"/>
          <w:szCs w:val="32"/>
        </w:rPr>
        <w:t>冀教安〔2019〕7号</w:t>
      </w:r>
      <w:r>
        <w:rPr>
          <w:rFonts w:ascii="方正仿宋简体" w:hAnsi="Calibri" w:eastAsia="方正仿宋简体" w:cs="Times New Roman"/>
          <w:sz w:val="32"/>
          <w:szCs w:val="32"/>
        </w:rPr>
        <w:t>）</w:t>
      </w:r>
    </w:p>
    <w:p w14:paraId="38597DDB">
      <w:pPr>
        <w:spacing w:line="570" w:lineRule="exact"/>
        <w:ind w:firstLine="640" w:firstLineChars="200"/>
        <w:rPr>
          <w:rFonts w:ascii="楷体" w:hAnsi="楷体" w:eastAsia="楷体"/>
          <w:sz w:val="32"/>
          <w:szCs w:val="32"/>
        </w:rPr>
      </w:pPr>
      <w:r>
        <w:rPr>
          <w:rFonts w:hint="eastAsia" w:ascii="楷体" w:hAnsi="楷体" w:eastAsia="楷体"/>
          <w:sz w:val="32"/>
          <w:szCs w:val="32"/>
        </w:rPr>
        <w:t>（二）专项资金安排情况</w:t>
      </w:r>
    </w:p>
    <w:p w14:paraId="5530A601">
      <w:pPr>
        <w:ind w:firstLine="640" w:firstLineChars="200"/>
        <w:rPr>
          <w:rFonts w:ascii="方正仿宋简体" w:eastAsia="方正仿宋简体"/>
          <w:sz w:val="32"/>
          <w:szCs w:val="32"/>
        </w:rPr>
      </w:pPr>
      <w:r>
        <w:rPr>
          <w:rFonts w:hint="eastAsia" w:ascii="方正仿宋简体" w:eastAsia="方正仿宋简体"/>
          <w:sz w:val="32"/>
          <w:szCs w:val="32"/>
        </w:rPr>
        <w:t>2021年度芦台经济开发区政府购买保安服务项目专项资金共计77.76万元，全部由区级财政投入，并由区教育局于2021年8月31日入账登记，资金支付到位率为100%。</w:t>
      </w:r>
      <w:r>
        <w:rPr>
          <w:rFonts w:ascii="方正仿宋简体" w:eastAsia="方正仿宋简体"/>
          <w:sz w:val="32"/>
          <w:szCs w:val="32"/>
        </w:rPr>
        <w:t xml:space="preserve"> </w:t>
      </w:r>
    </w:p>
    <w:p w14:paraId="261F17C4">
      <w:pPr>
        <w:spacing w:line="570" w:lineRule="exact"/>
        <w:ind w:firstLine="640" w:firstLineChars="200"/>
        <w:rPr>
          <w:rFonts w:ascii="方正楷体简体" w:hAnsi="宋体" w:eastAsia="方正楷体简体" w:cs="方正仿宋简体"/>
          <w:sz w:val="32"/>
          <w:szCs w:val="32"/>
        </w:rPr>
      </w:pPr>
      <w:r>
        <w:rPr>
          <w:rFonts w:hint="eastAsia" w:ascii="方正楷体简体" w:hAnsi="宋体" w:eastAsia="方正楷体简体" w:cs="方正仿宋简体"/>
          <w:sz w:val="32"/>
          <w:szCs w:val="32"/>
        </w:rPr>
        <w:t>（三）专项资金管理情况</w:t>
      </w:r>
    </w:p>
    <w:p w14:paraId="4EDA0444">
      <w:pPr>
        <w:ind w:firstLine="640" w:firstLineChars="200"/>
        <w:rPr>
          <w:rFonts w:ascii="方正仿宋简体" w:eastAsia="方正仿宋简体"/>
          <w:sz w:val="32"/>
          <w:szCs w:val="32"/>
        </w:rPr>
      </w:pPr>
      <w:r>
        <w:rPr>
          <w:rFonts w:ascii="方正仿宋简体" w:eastAsia="方正仿宋简体"/>
          <w:sz w:val="32"/>
          <w:szCs w:val="32"/>
        </w:rPr>
        <w:t>区级财政政府购买保安服务专项资金，由芦台经济开发区财政局按规定拨款至芦台经济开发区教育局，并由教育局与唐山市基石保安服务有限公司保安按约定的义务和责任履行合同。教育局在接到专项资金后已安排专人对项目进行管理和执行。</w:t>
      </w:r>
    </w:p>
    <w:p w14:paraId="22631E80">
      <w:pPr>
        <w:spacing w:line="570" w:lineRule="exact"/>
        <w:ind w:firstLine="640" w:firstLineChars="200"/>
        <w:rPr>
          <w:rFonts w:ascii="方正楷体简体" w:hAnsi="宋体" w:eastAsia="方正楷体简体" w:cs="方正仿宋简体"/>
          <w:sz w:val="32"/>
          <w:szCs w:val="32"/>
        </w:rPr>
      </w:pPr>
      <w:r>
        <w:rPr>
          <w:rFonts w:hint="eastAsia" w:ascii="方正楷体简体" w:hAnsi="宋体" w:eastAsia="方正楷体简体" w:cs="方正仿宋简体"/>
          <w:sz w:val="32"/>
          <w:szCs w:val="32"/>
        </w:rPr>
        <w:t>（四）专项资金绩效情况</w:t>
      </w:r>
    </w:p>
    <w:p w14:paraId="0A57AB15">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截止2021年12月31日，芦台经济开发区财政局共拨付2021年度政府购买保安服务项目资金77.76万元，实际支出72.36万元，资金全部用于维护我区属16所中小学、幼儿园的安全保障工作所产生的成本费用，严格按照保安人员月考核制度拨付资金,</w:t>
      </w:r>
      <w:r>
        <w:rPr>
          <w:rFonts w:hint="eastAsia" w:ascii="方正仿宋简体" w:hAnsi="方正楷体简体" w:eastAsia="方正仿宋简体" w:cs="方正楷体简体"/>
          <w:sz w:val="32"/>
          <w:szCs w:val="32"/>
        </w:rPr>
        <w:t xml:space="preserve"> </w:t>
      </w:r>
      <w:r>
        <w:rPr>
          <w:rFonts w:hint="eastAsia" w:ascii="方正仿宋简体" w:hAnsi="宋体" w:eastAsia="方正仿宋简体" w:cs="方正仿宋简体"/>
          <w:sz w:val="32"/>
          <w:szCs w:val="32"/>
        </w:rPr>
        <w:t>资金使用符合国家法制制度规定，不存在资金截留、挤占等现象。</w:t>
      </w:r>
    </w:p>
    <w:p w14:paraId="738FDFD9">
      <w:pPr>
        <w:spacing w:line="570" w:lineRule="exact"/>
        <w:ind w:firstLine="640" w:firstLineChars="200"/>
        <w:rPr>
          <w:rFonts w:ascii="方正仿宋简体" w:hAnsi="宋体" w:eastAsia="方正仿宋简体" w:cs="方正仿宋简体"/>
          <w:sz w:val="32"/>
          <w:szCs w:val="32"/>
        </w:rPr>
      </w:pPr>
    </w:p>
    <w:p w14:paraId="0EADC187">
      <w:pPr>
        <w:spacing w:line="570" w:lineRule="exact"/>
        <w:ind w:firstLine="640" w:firstLineChars="200"/>
        <w:rPr>
          <w:rFonts w:ascii="黑体" w:hAnsi="黑体" w:eastAsia="黑体"/>
          <w:sz w:val="32"/>
          <w:szCs w:val="32"/>
        </w:rPr>
      </w:pPr>
      <w:r>
        <w:rPr>
          <w:rFonts w:hint="eastAsia" w:ascii="黑体" w:hAnsi="黑体" w:eastAsia="黑体"/>
          <w:sz w:val="32"/>
          <w:szCs w:val="32"/>
        </w:rPr>
        <w:t>四、综合评价情况及评价结论</w:t>
      </w:r>
    </w:p>
    <w:p w14:paraId="72205685">
      <w:pPr>
        <w:spacing w:line="570" w:lineRule="exact"/>
        <w:ind w:firstLine="640" w:firstLineChars="200"/>
        <w:rPr>
          <w:rFonts w:ascii="黑体" w:hAnsi="黑体" w:eastAsia="黑体"/>
          <w:sz w:val="32"/>
          <w:szCs w:val="32"/>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10"/>
        <w:gridCol w:w="1880"/>
        <w:gridCol w:w="2899"/>
        <w:gridCol w:w="1021"/>
        <w:gridCol w:w="1012"/>
      </w:tblGrid>
      <w:tr w14:paraId="3B4BD0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2" w:hRule="atLeast"/>
        </w:trPr>
        <w:tc>
          <w:tcPr>
            <w:tcW w:w="12255" w:type="dxa"/>
            <w:gridSpan w:val="5"/>
            <w:noWrap/>
          </w:tcPr>
          <w:p w14:paraId="7F83250B">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政府购买保安项目财政评价绩效评价得分表</w:t>
            </w:r>
          </w:p>
        </w:tc>
      </w:tr>
      <w:tr w14:paraId="4C0B88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trPr>
        <w:tc>
          <w:tcPr>
            <w:tcW w:w="2460" w:type="dxa"/>
          </w:tcPr>
          <w:p w14:paraId="224D761E">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一级指标</w:t>
            </w:r>
          </w:p>
        </w:tc>
        <w:tc>
          <w:tcPr>
            <w:tcW w:w="2715" w:type="dxa"/>
          </w:tcPr>
          <w:p w14:paraId="0087D10E">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二级指标</w:t>
            </w:r>
          </w:p>
        </w:tc>
        <w:tc>
          <w:tcPr>
            <w:tcW w:w="4245" w:type="dxa"/>
          </w:tcPr>
          <w:p w14:paraId="29E1251D">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三级指标</w:t>
            </w:r>
          </w:p>
        </w:tc>
        <w:tc>
          <w:tcPr>
            <w:tcW w:w="1425" w:type="dxa"/>
          </w:tcPr>
          <w:p w14:paraId="674B4C09">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分值权重</w:t>
            </w:r>
          </w:p>
        </w:tc>
        <w:tc>
          <w:tcPr>
            <w:tcW w:w="1410" w:type="dxa"/>
          </w:tcPr>
          <w:p w14:paraId="5991538C">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得分</w:t>
            </w:r>
          </w:p>
        </w:tc>
      </w:tr>
      <w:tr w14:paraId="4C7083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restart"/>
            <w:noWrap/>
          </w:tcPr>
          <w:p w14:paraId="61802A23">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投入(25分）</w:t>
            </w:r>
          </w:p>
        </w:tc>
        <w:tc>
          <w:tcPr>
            <w:tcW w:w="2715" w:type="dxa"/>
            <w:noWrap/>
          </w:tcPr>
          <w:p w14:paraId="45DDF69C">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项目立项</w:t>
            </w:r>
          </w:p>
        </w:tc>
        <w:tc>
          <w:tcPr>
            <w:tcW w:w="4245" w:type="dxa"/>
            <w:noWrap/>
          </w:tcPr>
          <w:p w14:paraId="6A05D8E8">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项目立项充分性</w:t>
            </w:r>
          </w:p>
        </w:tc>
        <w:tc>
          <w:tcPr>
            <w:tcW w:w="1425" w:type="dxa"/>
            <w:noWrap/>
          </w:tcPr>
          <w:p w14:paraId="6A839F4D">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27358B2D">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w:t>
            </w:r>
          </w:p>
        </w:tc>
      </w:tr>
      <w:tr w14:paraId="4D6685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506F671A">
            <w:pPr>
              <w:spacing w:line="570" w:lineRule="exact"/>
              <w:ind w:firstLine="420" w:firstLineChars="200"/>
              <w:rPr>
                <w:rFonts w:ascii="方正仿宋简体" w:hAnsi="黑体" w:eastAsia="方正仿宋简体"/>
                <w:szCs w:val="21"/>
              </w:rPr>
            </w:pPr>
          </w:p>
        </w:tc>
        <w:tc>
          <w:tcPr>
            <w:tcW w:w="2715" w:type="dxa"/>
            <w:vMerge w:val="restart"/>
            <w:noWrap/>
          </w:tcPr>
          <w:p w14:paraId="73793FBF">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绩效目标</w:t>
            </w:r>
          </w:p>
        </w:tc>
        <w:tc>
          <w:tcPr>
            <w:tcW w:w="4245" w:type="dxa"/>
            <w:noWrap/>
          </w:tcPr>
          <w:p w14:paraId="3FC5E863">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绩效目标合理性</w:t>
            </w:r>
          </w:p>
        </w:tc>
        <w:tc>
          <w:tcPr>
            <w:tcW w:w="1425" w:type="dxa"/>
            <w:noWrap/>
          </w:tcPr>
          <w:p w14:paraId="66CBE7F7">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413FC92D">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4</w:t>
            </w:r>
          </w:p>
        </w:tc>
      </w:tr>
      <w:tr w14:paraId="4F0FBF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4515ACFF">
            <w:pPr>
              <w:spacing w:line="570" w:lineRule="exact"/>
              <w:ind w:firstLine="420" w:firstLineChars="200"/>
              <w:rPr>
                <w:rFonts w:ascii="方正仿宋简体" w:hAnsi="黑体" w:eastAsia="方正仿宋简体"/>
                <w:szCs w:val="21"/>
              </w:rPr>
            </w:pPr>
          </w:p>
        </w:tc>
        <w:tc>
          <w:tcPr>
            <w:tcW w:w="2715" w:type="dxa"/>
            <w:vMerge w:val="continue"/>
          </w:tcPr>
          <w:p w14:paraId="3E415790">
            <w:pPr>
              <w:spacing w:line="570" w:lineRule="exact"/>
              <w:ind w:firstLine="420" w:firstLineChars="200"/>
              <w:rPr>
                <w:rFonts w:ascii="方正仿宋简体" w:hAnsi="黑体" w:eastAsia="方正仿宋简体"/>
                <w:szCs w:val="21"/>
              </w:rPr>
            </w:pPr>
          </w:p>
        </w:tc>
        <w:tc>
          <w:tcPr>
            <w:tcW w:w="4245" w:type="dxa"/>
            <w:noWrap/>
          </w:tcPr>
          <w:p w14:paraId="0269EE26">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绩效指标明确性</w:t>
            </w:r>
          </w:p>
        </w:tc>
        <w:tc>
          <w:tcPr>
            <w:tcW w:w="1425" w:type="dxa"/>
            <w:noWrap/>
          </w:tcPr>
          <w:p w14:paraId="69C94C1D">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7920DA63">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4</w:t>
            </w:r>
          </w:p>
        </w:tc>
      </w:tr>
      <w:tr w14:paraId="77DC4A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2F425FB2">
            <w:pPr>
              <w:spacing w:line="570" w:lineRule="exact"/>
              <w:ind w:firstLine="420" w:firstLineChars="200"/>
              <w:rPr>
                <w:rFonts w:ascii="方正仿宋简体" w:hAnsi="黑体" w:eastAsia="方正仿宋简体"/>
                <w:szCs w:val="21"/>
              </w:rPr>
            </w:pPr>
          </w:p>
        </w:tc>
        <w:tc>
          <w:tcPr>
            <w:tcW w:w="2715" w:type="dxa"/>
            <w:noWrap/>
          </w:tcPr>
          <w:p w14:paraId="552B65FA">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资金落实</w:t>
            </w:r>
          </w:p>
        </w:tc>
        <w:tc>
          <w:tcPr>
            <w:tcW w:w="4245" w:type="dxa"/>
            <w:noWrap/>
          </w:tcPr>
          <w:p w14:paraId="745309B8">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资金到位率</w:t>
            </w:r>
          </w:p>
        </w:tc>
        <w:tc>
          <w:tcPr>
            <w:tcW w:w="1425" w:type="dxa"/>
            <w:noWrap/>
          </w:tcPr>
          <w:p w14:paraId="28462193">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10分</w:t>
            </w:r>
          </w:p>
        </w:tc>
        <w:tc>
          <w:tcPr>
            <w:tcW w:w="1410" w:type="dxa"/>
            <w:noWrap/>
          </w:tcPr>
          <w:p w14:paraId="6F20CA81">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10</w:t>
            </w:r>
          </w:p>
        </w:tc>
      </w:tr>
      <w:tr w14:paraId="17E0FD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restart"/>
            <w:noWrap/>
          </w:tcPr>
          <w:p w14:paraId="3975344F">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过程（25分)</w:t>
            </w:r>
          </w:p>
        </w:tc>
        <w:tc>
          <w:tcPr>
            <w:tcW w:w="2715" w:type="dxa"/>
            <w:vMerge w:val="restart"/>
            <w:noWrap/>
          </w:tcPr>
          <w:p w14:paraId="1D65A920">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业务管理</w:t>
            </w:r>
          </w:p>
        </w:tc>
        <w:tc>
          <w:tcPr>
            <w:tcW w:w="4245" w:type="dxa"/>
            <w:noWrap/>
          </w:tcPr>
          <w:p w14:paraId="56DAC9D5">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管理制度健全性</w:t>
            </w:r>
          </w:p>
        </w:tc>
        <w:tc>
          <w:tcPr>
            <w:tcW w:w="1425" w:type="dxa"/>
            <w:noWrap/>
          </w:tcPr>
          <w:p w14:paraId="33E584BF">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7C53790F">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4</w:t>
            </w:r>
          </w:p>
        </w:tc>
      </w:tr>
      <w:tr w14:paraId="67BF8F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34BC6993">
            <w:pPr>
              <w:spacing w:line="570" w:lineRule="exact"/>
              <w:ind w:firstLine="420" w:firstLineChars="200"/>
              <w:rPr>
                <w:rFonts w:ascii="方正仿宋简体" w:hAnsi="黑体" w:eastAsia="方正仿宋简体"/>
                <w:szCs w:val="21"/>
              </w:rPr>
            </w:pPr>
          </w:p>
        </w:tc>
        <w:tc>
          <w:tcPr>
            <w:tcW w:w="2715" w:type="dxa"/>
            <w:vMerge w:val="continue"/>
          </w:tcPr>
          <w:p w14:paraId="43C3DBD1">
            <w:pPr>
              <w:spacing w:line="570" w:lineRule="exact"/>
              <w:ind w:firstLine="420" w:firstLineChars="200"/>
              <w:rPr>
                <w:rFonts w:ascii="方正仿宋简体" w:hAnsi="黑体" w:eastAsia="方正仿宋简体"/>
                <w:szCs w:val="21"/>
              </w:rPr>
            </w:pPr>
          </w:p>
        </w:tc>
        <w:tc>
          <w:tcPr>
            <w:tcW w:w="4245" w:type="dxa"/>
            <w:noWrap/>
          </w:tcPr>
          <w:p w14:paraId="774256F6">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管理制度执行情况</w:t>
            </w:r>
          </w:p>
        </w:tc>
        <w:tc>
          <w:tcPr>
            <w:tcW w:w="1425" w:type="dxa"/>
            <w:noWrap/>
          </w:tcPr>
          <w:p w14:paraId="22CD03D7">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11279059">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4</w:t>
            </w:r>
          </w:p>
        </w:tc>
      </w:tr>
      <w:tr w14:paraId="4FE02B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76EC08ED">
            <w:pPr>
              <w:spacing w:line="570" w:lineRule="exact"/>
              <w:ind w:firstLine="420" w:firstLineChars="200"/>
              <w:rPr>
                <w:rFonts w:ascii="方正仿宋简体" w:hAnsi="黑体" w:eastAsia="方正仿宋简体"/>
                <w:szCs w:val="21"/>
              </w:rPr>
            </w:pPr>
          </w:p>
        </w:tc>
        <w:tc>
          <w:tcPr>
            <w:tcW w:w="2715" w:type="dxa"/>
            <w:vMerge w:val="restart"/>
            <w:noWrap/>
          </w:tcPr>
          <w:p w14:paraId="23000CD0">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财务管理</w:t>
            </w:r>
          </w:p>
        </w:tc>
        <w:tc>
          <w:tcPr>
            <w:tcW w:w="4245" w:type="dxa"/>
            <w:noWrap/>
          </w:tcPr>
          <w:p w14:paraId="0B808558">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财务制度健全性</w:t>
            </w:r>
          </w:p>
        </w:tc>
        <w:tc>
          <w:tcPr>
            <w:tcW w:w="1425" w:type="dxa"/>
            <w:noWrap/>
          </w:tcPr>
          <w:p w14:paraId="062ADCEA">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4CA3526C">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4</w:t>
            </w:r>
          </w:p>
        </w:tc>
      </w:tr>
      <w:tr w14:paraId="0ABBD1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64FC15DE">
            <w:pPr>
              <w:spacing w:line="570" w:lineRule="exact"/>
              <w:ind w:firstLine="420" w:firstLineChars="200"/>
              <w:rPr>
                <w:rFonts w:ascii="方正仿宋简体" w:hAnsi="黑体" w:eastAsia="方正仿宋简体"/>
                <w:szCs w:val="21"/>
              </w:rPr>
            </w:pPr>
          </w:p>
        </w:tc>
        <w:tc>
          <w:tcPr>
            <w:tcW w:w="2715" w:type="dxa"/>
            <w:vMerge w:val="continue"/>
          </w:tcPr>
          <w:p w14:paraId="04BAFE52">
            <w:pPr>
              <w:spacing w:line="570" w:lineRule="exact"/>
              <w:ind w:firstLine="420" w:firstLineChars="200"/>
              <w:rPr>
                <w:rFonts w:ascii="方正仿宋简体" w:hAnsi="黑体" w:eastAsia="方正仿宋简体"/>
                <w:szCs w:val="21"/>
              </w:rPr>
            </w:pPr>
          </w:p>
        </w:tc>
        <w:tc>
          <w:tcPr>
            <w:tcW w:w="4245" w:type="dxa"/>
            <w:noWrap/>
          </w:tcPr>
          <w:p w14:paraId="0D546924">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财务监管有效性</w:t>
            </w:r>
          </w:p>
        </w:tc>
        <w:tc>
          <w:tcPr>
            <w:tcW w:w="1425" w:type="dxa"/>
            <w:noWrap/>
          </w:tcPr>
          <w:p w14:paraId="0FF4012F">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1F52F572">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4</w:t>
            </w:r>
          </w:p>
        </w:tc>
      </w:tr>
      <w:tr w14:paraId="468BC1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3F251F37">
            <w:pPr>
              <w:spacing w:line="570" w:lineRule="exact"/>
              <w:ind w:firstLine="420" w:firstLineChars="200"/>
              <w:rPr>
                <w:rFonts w:ascii="方正仿宋简体" w:hAnsi="黑体" w:eastAsia="方正仿宋简体"/>
                <w:szCs w:val="21"/>
              </w:rPr>
            </w:pPr>
          </w:p>
        </w:tc>
        <w:tc>
          <w:tcPr>
            <w:tcW w:w="2715" w:type="dxa"/>
            <w:vMerge w:val="continue"/>
          </w:tcPr>
          <w:p w14:paraId="029BD10D">
            <w:pPr>
              <w:spacing w:line="570" w:lineRule="exact"/>
              <w:ind w:firstLine="420" w:firstLineChars="200"/>
              <w:rPr>
                <w:rFonts w:ascii="方正仿宋简体" w:hAnsi="黑体" w:eastAsia="方正仿宋简体"/>
                <w:szCs w:val="21"/>
              </w:rPr>
            </w:pPr>
          </w:p>
        </w:tc>
        <w:tc>
          <w:tcPr>
            <w:tcW w:w="4245" w:type="dxa"/>
            <w:noWrap/>
          </w:tcPr>
          <w:p w14:paraId="24684AF6">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资金使用情况</w:t>
            </w:r>
          </w:p>
        </w:tc>
        <w:tc>
          <w:tcPr>
            <w:tcW w:w="1425" w:type="dxa"/>
            <w:noWrap/>
          </w:tcPr>
          <w:p w14:paraId="40206C72">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630FB18A">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4</w:t>
            </w:r>
          </w:p>
        </w:tc>
      </w:tr>
      <w:tr w14:paraId="4FAD4C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restart"/>
            <w:noWrap/>
          </w:tcPr>
          <w:p w14:paraId="79AE8BE0">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产出（30分）</w:t>
            </w:r>
          </w:p>
        </w:tc>
        <w:tc>
          <w:tcPr>
            <w:tcW w:w="2715" w:type="dxa"/>
            <w:noWrap/>
          </w:tcPr>
          <w:p w14:paraId="0159CF51">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数量指标</w:t>
            </w:r>
          </w:p>
        </w:tc>
        <w:tc>
          <w:tcPr>
            <w:tcW w:w="4245" w:type="dxa"/>
            <w:noWrap/>
          </w:tcPr>
          <w:p w14:paraId="7FC7880E">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保安具体数量</w:t>
            </w:r>
          </w:p>
        </w:tc>
        <w:tc>
          <w:tcPr>
            <w:tcW w:w="1425" w:type="dxa"/>
            <w:noWrap/>
          </w:tcPr>
          <w:p w14:paraId="02E6F8F1">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6分</w:t>
            </w:r>
          </w:p>
        </w:tc>
        <w:tc>
          <w:tcPr>
            <w:tcW w:w="1410" w:type="dxa"/>
            <w:noWrap/>
          </w:tcPr>
          <w:p w14:paraId="4021EE7E">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w:t>
            </w:r>
          </w:p>
        </w:tc>
      </w:tr>
      <w:tr w14:paraId="695A36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09518C38">
            <w:pPr>
              <w:spacing w:line="570" w:lineRule="exact"/>
              <w:ind w:firstLine="420" w:firstLineChars="200"/>
              <w:rPr>
                <w:rFonts w:ascii="方正仿宋简体" w:hAnsi="黑体" w:eastAsia="方正仿宋简体"/>
                <w:szCs w:val="21"/>
              </w:rPr>
            </w:pPr>
          </w:p>
        </w:tc>
        <w:tc>
          <w:tcPr>
            <w:tcW w:w="2715" w:type="dxa"/>
            <w:vMerge w:val="restart"/>
            <w:noWrap/>
          </w:tcPr>
          <w:p w14:paraId="454CD2C0">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质量指标</w:t>
            </w:r>
          </w:p>
        </w:tc>
        <w:tc>
          <w:tcPr>
            <w:tcW w:w="4245" w:type="dxa"/>
            <w:noWrap/>
          </w:tcPr>
          <w:p w14:paraId="53335B53">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保安效果达标率</w:t>
            </w:r>
          </w:p>
        </w:tc>
        <w:tc>
          <w:tcPr>
            <w:tcW w:w="1425" w:type="dxa"/>
            <w:noWrap/>
          </w:tcPr>
          <w:p w14:paraId="3870C328">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6分</w:t>
            </w:r>
          </w:p>
        </w:tc>
        <w:tc>
          <w:tcPr>
            <w:tcW w:w="1410" w:type="dxa"/>
            <w:noWrap/>
          </w:tcPr>
          <w:p w14:paraId="6F2ED8BD">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w:t>
            </w:r>
          </w:p>
        </w:tc>
      </w:tr>
      <w:tr w14:paraId="3B85A5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2C2AEF7F">
            <w:pPr>
              <w:spacing w:line="570" w:lineRule="exact"/>
              <w:ind w:firstLine="420" w:firstLineChars="200"/>
              <w:rPr>
                <w:rFonts w:ascii="方正仿宋简体" w:hAnsi="黑体" w:eastAsia="方正仿宋简体"/>
                <w:szCs w:val="21"/>
              </w:rPr>
            </w:pPr>
          </w:p>
        </w:tc>
        <w:tc>
          <w:tcPr>
            <w:tcW w:w="2715" w:type="dxa"/>
            <w:vMerge w:val="continue"/>
          </w:tcPr>
          <w:p w14:paraId="6CA33EED">
            <w:pPr>
              <w:spacing w:line="570" w:lineRule="exact"/>
              <w:ind w:firstLine="420" w:firstLineChars="200"/>
              <w:rPr>
                <w:rFonts w:ascii="方正仿宋简体" w:hAnsi="黑体" w:eastAsia="方正仿宋简体"/>
                <w:szCs w:val="21"/>
              </w:rPr>
            </w:pPr>
          </w:p>
        </w:tc>
        <w:tc>
          <w:tcPr>
            <w:tcW w:w="4245" w:type="dxa"/>
            <w:noWrap/>
          </w:tcPr>
          <w:p w14:paraId="03FDDC5B">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学生安全达标率</w:t>
            </w:r>
          </w:p>
        </w:tc>
        <w:tc>
          <w:tcPr>
            <w:tcW w:w="1425" w:type="dxa"/>
            <w:noWrap/>
          </w:tcPr>
          <w:p w14:paraId="044358CB">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6分</w:t>
            </w:r>
          </w:p>
        </w:tc>
        <w:tc>
          <w:tcPr>
            <w:tcW w:w="1410" w:type="dxa"/>
            <w:noWrap/>
          </w:tcPr>
          <w:p w14:paraId="301F39B8">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w:t>
            </w:r>
          </w:p>
        </w:tc>
      </w:tr>
      <w:tr w14:paraId="25DCE8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1EBBDDCC">
            <w:pPr>
              <w:spacing w:line="570" w:lineRule="exact"/>
              <w:ind w:firstLine="420" w:firstLineChars="200"/>
              <w:rPr>
                <w:rFonts w:ascii="方正仿宋简体" w:hAnsi="黑体" w:eastAsia="方正仿宋简体"/>
                <w:szCs w:val="21"/>
              </w:rPr>
            </w:pPr>
          </w:p>
        </w:tc>
        <w:tc>
          <w:tcPr>
            <w:tcW w:w="2715" w:type="dxa"/>
            <w:noWrap/>
          </w:tcPr>
          <w:p w14:paraId="4086D5FD">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时效指标</w:t>
            </w:r>
          </w:p>
        </w:tc>
        <w:tc>
          <w:tcPr>
            <w:tcW w:w="4245" w:type="dxa"/>
            <w:noWrap/>
          </w:tcPr>
          <w:p w14:paraId="22766D9A">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保安在岗时间达标率</w:t>
            </w:r>
          </w:p>
        </w:tc>
        <w:tc>
          <w:tcPr>
            <w:tcW w:w="1425" w:type="dxa"/>
            <w:noWrap/>
          </w:tcPr>
          <w:p w14:paraId="30DFC7FB">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6分</w:t>
            </w:r>
          </w:p>
        </w:tc>
        <w:tc>
          <w:tcPr>
            <w:tcW w:w="1410" w:type="dxa"/>
            <w:noWrap/>
          </w:tcPr>
          <w:p w14:paraId="1C7EB5BB">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w:t>
            </w:r>
          </w:p>
        </w:tc>
      </w:tr>
      <w:tr w14:paraId="3AB984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3E27249A">
            <w:pPr>
              <w:spacing w:line="570" w:lineRule="exact"/>
              <w:ind w:firstLine="420" w:firstLineChars="200"/>
              <w:rPr>
                <w:rFonts w:ascii="方正仿宋简体" w:hAnsi="黑体" w:eastAsia="方正仿宋简体"/>
                <w:szCs w:val="21"/>
              </w:rPr>
            </w:pPr>
          </w:p>
        </w:tc>
        <w:tc>
          <w:tcPr>
            <w:tcW w:w="2715" w:type="dxa"/>
            <w:noWrap/>
          </w:tcPr>
          <w:p w14:paraId="7CB0EDE4">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成本指标</w:t>
            </w:r>
          </w:p>
        </w:tc>
        <w:tc>
          <w:tcPr>
            <w:tcW w:w="4245" w:type="dxa"/>
            <w:noWrap/>
          </w:tcPr>
          <w:p w14:paraId="5CB7E2D0">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人均成本控制</w:t>
            </w:r>
          </w:p>
        </w:tc>
        <w:tc>
          <w:tcPr>
            <w:tcW w:w="1425" w:type="dxa"/>
            <w:noWrap/>
          </w:tcPr>
          <w:p w14:paraId="1CB2529B">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6分</w:t>
            </w:r>
          </w:p>
        </w:tc>
        <w:tc>
          <w:tcPr>
            <w:tcW w:w="1410" w:type="dxa"/>
            <w:noWrap/>
          </w:tcPr>
          <w:p w14:paraId="6DDED37D">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w:t>
            </w:r>
          </w:p>
        </w:tc>
      </w:tr>
      <w:tr w14:paraId="0504CD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restart"/>
            <w:noWrap/>
          </w:tcPr>
          <w:p w14:paraId="68555682">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效益（20分）</w:t>
            </w:r>
          </w:p>
        </w:tc>
        <w:tc>
          <w:tcPr>
            <w:tcW w:w="2715" w:type="dxa"/>
            <w:noWrap/>
          </w:tcPr>
          <w:p w14:paraId="2792DFB0">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社会效益指标</w:t>
            </w:r>
          </w:p>
        </w:tc>
        <w:tc>
          <w:tcPr>
            <w:tcW w:w="4245" w:type="dxa"/>
            <w:noWrap/>
          </w:tcPr>
          <w:p w14:paraId="75551412">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项目是否能切实提高学校安全</w:t>
            </w:r>
          </w:p>
        </w:tc>
        <w:tc>
          <w:tcPr>
            <w:tcW w:w="1425" w:type="dxa"/>
            <w:noWrap/>
          </w:tcPr>
          <w:p w14:paraId="589EF415">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7分</w:t>
            </w:r>
          </w:p>
        </w:tc>
        <w:tc>
          <w:tcPr>
            <w:tcW w:w="1410" w:type="dxa"/>
            <w:noWrap/>
          </w:tcPr>
          <w:p w14:paraId="2DB72114">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w:t>
            </w:r>
          </w:p>
        </w:tc>
      </w:tr>
      <w:tr w14:paraId="68EC27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026C807C">
            <w:pPr>
              <w:spacing w:line="570" w:lineRule="exact"/>
              <w:ind w:firstLine="420" w:firstLineChars="200"/>
              <w:rPr>
                <w:rFonts w:ascii="方正仿宋简体" w:hAnsi="黑体" w:eastAsia="方正仿宋简体"/>
                <w:szCs w:val="21"/>
              </w:rPr>
            </w:pPr>
          </w:p>
        </w:tc>
        <w:tc>
          <w:tcPr>
            <w:tcW w:w="2715" w:type="dxa"/>
            <w:noWrap/>
          </w:tcPr>
          <w:p w14:paraId="6E829876">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可持续影响指标</w:t>
            </w:r>
          </w:p>
        </w:tc>
        <w:tc>
          <w:tcPr>
            <w:tcW w:w="4245" w:type="dxa"/>
            <w:noWrap/>
          </w:tcPr>
          <w:p w14:paraId="43E79534">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学校安全持续得改善</w:t>
            </w:r>
          </w:p>
        </w:tc>
        <w:tc>
          <w:tcPr>
            <w:tcW w:w="1425" w:type="dxa"/>
            <w:noWrap/>
          </w:tcPr>
          <w:p w14:paraId="5638C045">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7分</w:t>
            </w:r>
          </w:p>
        </w:tc>
        <w:tc>
          <w:tcPr>
            <w:tcW w:w="1410" w:type="dxa"/>
            <w:noWrap/>
          </w:tcPr>
          <w:p w14:paraId="64055585">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7</w:t>
            </w:r>
          </w:p>
        </w:tc>
      </w:tr>
      <w:tr w14:paraId="5E7580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29112039">
            <w:pPr>
              <w:spacing w:line="570" w:lineRule="exact"/>
              <w:ind w:firstLine="420" w:firstLineChars="200"/>
              <w:rPr>
                <w:rFonts w:ascii="方正仿宋简体" w:hAnsi="黑体" w:eastAsia="方正仿宋简体"/>
                <w:szCs w:val="21"/>
              </w:rPr>
            </w:pPr>
          </w:p>
        </w:tc>
        <w:tc>
          <w:tcPr>
            <w:tcW w:w="2715" w:type="dxa"/>
            <w:noWrap/>
          </w:tcPr>
          <w:p w14:paraId="222DD231">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满意度</w:t>
            </w:r>
          </w:p>
        </w:tc>
        <w:tc>
          <w:tcPr>
            <w:tcW w:w="4245" w:type="dxa"/>
            <w:noWrap/>
          </w:tcPr>
          <w:p w14:paraId="0985ACF6">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服务对象满意度</w:t>
            </w:r>
          </w:p>
        </w:tc>
        <w:tc>
          <w:tcPr>
            <w:tcW w:w="1425" w:type="dxa"/>
            <w:noWrap/>
          </w:tcPr>
          <w:p w14:paraId="5EB48295">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6分</w:t>
            </w:r>
          </w:p>
        </w:tc>
        <w:tc>
          <w:tcPr>
            <w:tcW w:w="1410" w:type="dxa"/>
            <w:noWrap/>
          </w:tcPr>
          <w:p w14:paraId="78B62D8B">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w:t>
            </w:r>
          </w:p>
        </w:tc>
      </w:tr>
      <w:tr w14:paraId="111A13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noWrap/>
          </w:tcPr>
          <w:p w14:paraId="11114C95">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总分</w:t>
            </w:r>
          </w:p>
        </w:tc>
        <w:tc>
          <w:tcPr>
            <w:tcW w:w="2715" w:type="dxa"/>
            <w:noWrap/>
          </w:tcPr>
          <w:p w14:paraId="0061DBF2">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92</w:t>
            </w:r>
          </w:p>
        </w:tc>
        <w:tc>
          <w:tcPr>
            <w:tcW w:w="4245" w:type="dxa"/>
            <w:noWrap/>
          </w:tcPr>
          <w:p w14:paraId="403F59AC">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评价等次</w:t>
            </w:r>
          </w:p>
        </w:tc>
        <w:tc>
          <w:tcPr>
            <w:tcW w:w="2835" w:type="dxa"/>
            <w:gridSpan w:val="2"/>
            <w:noWrap/>
          </w:tcPr>
          <w:p w14:paraId="05E65F5B">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优</w:t>
            </w:r>
          </w:p>
        </w:tc>
      </w:tr>
    </w:tbl>
    <w:p w14:paraId="0FF381EF">
      <w:pPr>
        <w:spacing w:line="570" w:lineRule="exact"/>
        <w:ind w:firstLine="640" w:firstLineChars="200"/>
        <w:rPr>
          <w:rFonts w:ascii="黑体" w:hAnsi="黑体" w:eastAsia="黑体"/>
          <w:sz w:val="32"/>
          <w:szCs w:val="32"/>
        </w:rPr>
      </w:pPr>
    </w:p>
    <w:p w14:paraId="49588188">
      <w:pPr>
        <w:spacing w:line="570" w:lineRule="exact"/>
        <w:ind w:firstLine="640" w:firstLineChars="200"/>
        <w:rPr>
          <w:rFonts w:ascii="方正楷体简体" w:hAnsi="宋体" w:eastAsia="方正楷体简体" w:cs="方正仿宋简体"/>
          <w:sz w:val="32"/>
          <w:szCs w:val="32"/>
        </w:rPr>
      </w:pPr>
    </w:p>
    <w:p w14:paraId="7ACC0301">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根据财政绩效评价指标体系及评分标准，通过分析，对芦台经济开发区教育局2021年政府购买保安服务项目专项资金绩效进行客观评价，最终评分结果：总分为</w:t>
      </w:r>
      <w:r>
        <w:rPr>
          <w:rFonts w:hint="eastAsia" w:ascii="方正仿宋简体" w:hAnsi="仿宋" w:eastAsia="方正仿宋简体"/>
          <w:color w:val="000000" w:themeColor="text1"/>
          <w:sz w:val="32"/>
          <w:szCs w:val="32"/>
        </w:rPr>
        <w:t>92</w:t>
      </w:r>
      <w:r>
        <w:rPr>
          <w:rFonts w:hint="eastAsia" w:ascii="方正仿宋简体" w:hAnsi="仿宋" w:eastAsia="方正仿宋简体"/>
          <w:sz w:val="32"/>
          <w:szCs w:val="32"/>
        </w:rPr>
        <w:t>分，绩效评级为“</w:t>
      </w:r>
      <w:r>
        <w:rPr>
          <w:rFonts w:hint="eastAsia" w:ascii="方正仿宋简体" w:hAnsi="仿宋" w:eastAsia="方正仿宋简体"/>
          <w:color w:val="000000" w:themeColor="text1"/>
          <w:sz w:val="32"/>
          <w:szCs w:val="32"/>
        </w:rPr>
        <w:t>优</w:t>
      </w:r>
      <w:r>
        <w:rPr>
          <w:rFonts w:hint="eastAsia" w:ascii="方正仿宋简体" w:hAnsi="仿宋" w:eastAsia="方正仿宋简体"/>
          <w:sz w:val="32"/>
          <w:szCs w:val="32"/>
        </w:rPr>
        <w:t>”。</w:t>
      </w:r>
    </w:p>
    <w:p w14:paraId="1E23DEB1">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本次绩效评价的评价指标体系，</w:t>
      </w:r>
      <w:r>
        <w:rPr>
          <w:rFonts w:ascii="方正仿宋简体" w:hAnsi="仿宋" w:eastAsia="方正仿宋简体"/>
          <w:sz w:val="32"/>
          <w:szCs w:val="32"/>
        </w:rPr>
        <w:t>唐山市财政局《唐山市项目支出绩效评价管理办法》</w:t>
      </w:r>
      <w:r>
        <w:rPr>
          <w:rFonts w:ascii="方正仿宋简体" w:hAnsi="仿宋" w:eastAsia="方正仿宋简体"/>
          <w:bCs/>
          <w:sz w:val="32"/>
          <w:szCs w:val="32"/>
        </w:rPr>
        <w:t>（</w:t>
      </w:r>
      <w:r>
        <w:rPr>
          <w:rFonts w:ascii="方正仿宋简体" w:hAnsi="仿宋" w:eastAsia="方正仿宋简体"/>
          <w:sz w:val="32"/>
          <w:szCs w:val="32"/>
        </w:rPr>
        <w:t>唐财绩〔2020〕3号</w:t>
      </w:r>
      <w:r>
        <w:rPr>
          <w:rFonts w:ascii="方正仿宋简体" w:hAnsi="仿宋" w:eastAsia="方正仿宋简体"/>
          <w:bCs/>
          <w:sz w:val="32"/>
          <w:szCs w:val="32"/>
        </w:rPr>
        <w:t>）</w:t>
      </w:r>
      <w:r>
        <w:rPr>
          <w:rFonts w:ascii="方正仿宋简体" w:hAnsi="仿宋" w:eastAsia="方正仿宋简体"/>
          <w:sz w:val="32"/>
          <w:szCs w:val="32"/>
        </w:rPr>
        <w:t>、《唐山市项目支出绩效重点评价管理办法</w:t>
      </w:r>
      <w:r>
        <w:rPr>
          <w:rFonts w:ascii="方正仿宋简体" w:hAnsi="仿宋" w:eastAsia="方正仿宋简体"/>
          <w:bCs/>
          <w:sz w:val="32"/>
          <w:szCs w:val="32"/>
        </w:rPr>
        <w:t>》（</w:t>
      </w:r>
      <w:r>
        <w:rPr>
          <w:rFonts w:ascii="方正仿宋简体" w:hAnsi="仿宋" w:eastAsia="方正仿宋简体"/>
          <w:sz w:val="32"/>
          <w:szCs w:val="32"/>
        </w:rPr>
        <w:t>唐财绩〔2020〕5号</w:t>
      </w:r>
      <w:r>
        <w:rPr>
          <w:rFonts w:ascii="方正仿宋简体" w:hAnsi="仿宋" w:eastAsia="方正仿宋简体"/>
          <w:bCs/>
          <w:sz w:val="32"/>
          <w:szCs w:val="32"/>
        </w:rPr>
        <w:t>）</w:t>
      </w:r>
      <w:r>
        <w:rPr>
          <w:rFonts w:hint="eastAsia" w:ascii="方正仿宋简体" w:hAnsi="仿宋" w:eastAsia="方正仿宋简体"/>
          <w:sz w:val="32"/>
          <w:szCs w:val="32"/>
        </w:rPr>
        <w:t>的基础上，根据项目的个性特征，制定了</w:t>
      </w:r>
      <w:r>
        <w:rPr>
          <w:rFonts w:ascii="方正仿宋简体" w:hAnsi="仿宋" w:eastAsia="方正仿宋简体"/>
          <w:sz w:val="32"/>
          <w:szCs w:val="32"/>
        </w:rPr>
        <w:t>2020</w:t>
      </w:r>
      <w:r>
        <w:rPr>
          <w:rFonts w:hint="eastAsia" w:ascii="方正仿宋简体" w:hAnsi="仿宋" w:eastAsia="方正仿宋简体"/>
          <w:sz w:val="32"/>
          <w:szCs w:val="32"/>
        </w:rPr>
        <w:t>年度保安服务补助专项资金项目的《绩效评价评分表》。采用定量和定性相结合的方法。评分结果为优、良、中、差四个等级。分值介于</w:t>
      </w:r>
      <w:r>
        <w:rPr>
          <w:rFonts w:ascii="方正仿宋简体" w:hAnsi="仿宋" w:eastAsia="方正仿宋简体"/>
          <w:sz w:val="32"/>
          <w:szCs w:val="32"/>
        </w:rPr>
        <w:t>90</w:t>
      </w:r>
      <w:r>
        <w:rPr>
          <w:rFonts w:hint="eastAsia" w:ascii="方正仿宋简体" w:hAnsi="仿宋" w:eastAsia="方正仿宋简体"/>
          <w:sz w:val="32"/>
          <w:szCs w:val="32"/>
        </w:rPr>
        <w:t>（含</w:t>
      </w:r>
      <w:r>
        <w:rPr>
          <w:rFonts w:ascii="方正仿宋简体" w:hAnsi="仿宋" w:eastAsia="方正仿宋简体"/>
          <w:sz w:val="32"/>
          <w:szCs w:val="32"/>
        </w:rPr>
        <w:t>90</w:t>
      </w:r>
      <w:r>
        <w:rPr>
          <w:rFonts w:hint="eastAsia" w:ascii="方正仿宋简体" w:hAnsi="仿宋" w:eastAsia="方正仿宋简体"/>
          <w:sz w:val="32"/>
          <w:szCs w:val="32"/>
        </w:rPr>
        <w:t>分）和</w:t>
      </w:r>
      <w:r>
        <w:rPr>
          <w:rFonts w:ascii="方正仿宋简体" w:hAnsi="仿宋" w:eastAsia="方正仿宋简体"/>
          <w:sz w:val="32"/>
          <w:szCs w:val="32"/>
        </w:rPr>
        <w:t>100</w:t>
      </w:r>
      <w:r>
        <w:rPr>
          <w:rFonts w:hint="eastAsia" w:ascii="方正仿宋简体" w:hAnsi="仿宋" w:eastAsia="方正仿宋简体"/>
          <w:sz w:val="32"/>
          <w:szCs w:val="32"/>
        </w:rPr>
        <w:t>分之间为</w:t>
      </w:r>
      <w:r>
        <w:rPr>
          <w:rFonts w:ascii="方正仿宋简体" w:hAnsi="仿宋" w:eastAsia="方正仿宋简体"/>
          <w:sz w:val="32"/>
          <w:szCs w:val="32"/>
        </w:rPr>
        <w:t>“</w:t>
      </w:r>
      <w:r>
        <w:rPr>
          <w:rFonts w:hint="eastAsia" w:ascii="方正仿宋简体" w:hAnsi="仿宋" w:eastAsia="方正仿宋简体"/>
          <w:sz w:val="32"/>
          <w:szCs w:val="32"/>
        </w:rPr>
        <w:t>优</w:t>
      </w:r>
      <w:r>
        <w:rPr>
          <w:rFonts w:ascii="方正仿宋简体" w:hAnsi="仿宋" w:eastAsia="方正仿宋简体"/>
          <w:sz w:val="32"/>
          <w:szCs w:val="32"/>
        </w:rPr>
        <w:t>”</w:t>
      </w:r>
      <w:r>
        <w:rPr>
          <w:rFonts w:hint="eastAsia" w:ascii="方正仿宋简体" w:hAnsi="仿宋" w:eastAsia="方正仿宋简体"/>
          <w:sz w:val="32"/>
          <w:szCs w:val="32"/>
        </w:rPr>
        <w:t>，分值介于</w:t>
      </w:r>
      <w:r>
        <w:rPr>
          <w:rFonts w:ascii="方正仿宋简体" w:hAnsi="仿宋" w:eastAsia="方正仿宋简体"/>
          <w:sz w:val="32"/>
          <w:szCs w:val="32"/>
        </w:rPr>
        <w:t>80</w:t>
      </w:r>
      <w:r>
        <w:rPr>
          <w:rFonts w:hint="eastAsia" w:ascii="方正仿宋简体" w:hAnsi="仿宋" w:eastAsia="方正仿宋简体"/>
          <w:sz w:val="32"/>
          <w:szCs w:val="32"/>
        </w:rPr>
        <w:t>（含</w:t>
      </w:r>
      <w:r>
        <w:rPr>
          <w:rFonts w:ascii="方正仿宋简体" w:hAnsi="仿宋" w:eastAsia="方正仿宋简体"/>
          <w:sz w:val="32"/>
          <w:szCs w:val="32"/>
        </w:rPr>
        <w:t>80</w:t>
      </w:r>
      <w:r>
        <w:rPr>
          <w:rFonts w:hint="eastAsia" w:ascii="方正仿宋简体" w:hAnsi="仿宋" w:eastAsia="方正仿宋简体"/>
          <w:sz w:val="32"/>
          <w:szCs w:val="32"/>
        </w:rPr>
        <w:t>分）和</w:t>
      </w:r>
      <w:r>
        <w:rPr>
          <w:rFonts w:ascii="方正仿宋简体" w:hAnsi="仿宋" w:eastAsia="方正仿宋简体"/>
          <w:sz w:val="32"/>
          <w:szCs w:val="32"/>
        </w:rPr>
        <w:t>90</w:t>
      </w:r>
      <w:r>
        <w:rPr>
          <w:rFonts w:hint="eastAsia" w:ascii="方正仿宋简体" w:hAnsi="仿宋" w:eastAsia="方正仿宋简体"/>
          <w:sz w:val="32"/>
          <w:szCs w:val="32"/>
        </w:rPr>
        <w:t>分之间为</w:t>
      </w:r>
      <w:r>
        <w:rPr>
          <w:rFonts w:ascii="方正仿宋简体" w:hAnsi="仿宋" w:eastAsia="方正仿宋简体"/>
          <w:sz w:val="32"/>
          <w:szCs w:val="32"/>
        </w:rPr>
        <w:t>“</w:t>
      </w:r>
      <w:r>
        <w:rPr>
          <w:rFonts w:hint="eastAsia" w:ascii="方正仿宋简体" w:hAnsi="仿宋" w:eastAsia="方正仿宋简体"/>
          <w:sz w:val="32"/>
          <w:szCs w:val="32"/>
        </w:rPr>
        <w:t>良</w:t>
      </w:r>
      <w:r>
        <w:rPr>
          <w:rFonts w:ascii="方正仿宋简体" w:hAnsi="仿宋" w:eastAsia="方正仿宋简体"/>
          <w:sz w:val="32"/>
          <w:szCs w:val="32"/>
        </w:rPr>
        <w:t>”</w:t>
      </w:r>
      <w:r>
        <w:rPr>
          <w:rFonts w:hint="eastAsia" w:ascii="方正仿宋简体" w:hAnsi="仿宋" w:eastAsia="方正仿宋简体"/>
          <w:sz w:val="32"/>
          <w:szCs w:val="32"/>
        </w:rPr>
        <w:t>，分值介于</w:t>
      </w:r>
      <w:r>
        <w:rPr>
          <w:rFonts w:ascii="方正仿宋简体" w:hAnsi="仿宋" w:eastAsia="方正仿宋简体"/>
          <w:sz w:val="32"/>
          <w:szCs w:val="32"/>
        </w:rPr>
        <w:t>60</w:t>
      </w:r>
      <w:r>
        <w:rPr>
          <w:rFonts w:hint="eastAsia" w:ascii="方正仿宋简体" w:hAnsi="仿宋" w:eastAsia="方正仿宋简体"/>
          <w:sz w:val="32"/>
          <w:szCs w:val="32"/>
        </w:rPr>
        <w:t>（含</w:t>
      </w:r>
      <w:r>
        <w:rPr>
          <w:rFonts w:ascii="方正仿宋简体" w:hAnsi="仿宋" w:eastAsia="方正仿宋简体"/>
          <w:sz w:val="32"/>
          <w:szCs w:val="32"/>
        </w:rPr>
        <w:t>60</w:t>
      </w:r>
      <w:r>
        <w:rPr>
          <w:rFonts w:hint="eastAsia" w:ascii="方正仿宋简体" w:hAnsi="仿宋" w:eastAsia="方正仿宋简体"/>
          <w:sz w:val="32"/>
          <w:szCs w:val="32"/>
        </w:rPr>
        <w:t>分）和</w:t>
      </w:r>
      <w:r>
        <w:rPr>
          <w:rFonts w:ascii="方正仿宋简体" w:hAnsi="仿宋" w:eastAsia="方正仿宋简体"/>
          <w:sz w:val="32"/>
          <w:szCs w:val="32"/>
        </w:rPr>
        <w:t>80</w:t>
      </w:r>
      <w:r>
        <w:rPr>
          <w:rFonts w:hint="eastAsia" w:ascii="方正仿宋简体" w:hAnsi="仿宋" w:eastAsia="方正仿宋简体"/>
          <w:sz w:val="32"/>
          <w:szCs w:val="32"/>
        </w:rPr>
        <w:t>分之间为</w:t>
      </w:r>
      <w:r>
        <w:rPr>
          <w:rFonts w:ascii="方正仿宋简体" w:hAnsi="仿宋" w:eastAsia="方正仿宋简体"/>
          <w:sz w:val="32"/>
          <w:szCs w:val="32"/>
        </w:rPr>
        <w:t>“</w:t>
      </w:r>
      <w:r>
        <w:rPr>
          <w:rFonts w:hint="eastAsia" w:ascii="方正仿宋简体" w:hAnsi="仿宋" w:eastAsia="方正仿宋简体"/>
          <w:sz w:val="32"/>
          <w:szCs w:val="32"/>
        </w:rPr>
        <w:t>中</w:t>
      </w:r>
      <w:r>
        <w:rPr>
          <w:rFonts w:ascii="方正仿宋简体" w:hAnsi="仿宋" w:eastAsia="方正仿宋简体"/>
          <w:sz w:val="32"/>
          <w:szCs w:val="32"/>
        </w:rPr>
        <w:t>”</w:t>
      </w:r>
      <w:r>
        <w:rPr>
          <w:rFonts w:hint="eastAsia" w:ascii="方正仿宋简体" w:hAnsi="仿宋" w:eastAsia="方正仿宋简体"/>
          <w:sz w:val="32"/>
          <w:szCs w:val="32"/>
        </w:rPr>
        <w:t>，低于</w:t>
      </w:r>
      <w:r>
        <w:rPr>
          <w:rFonts w:ascii="方正仿宋简体" w:hAnsi="仿宋" w:eastAsia="方正仿宋简体"/>
          <w:sz w:val="32"/>
          <w:szCs w:val="32"/>
        </w:rPr>
        <w:t>60</w:t>
      </w:r>
      <w:r>
        <w:rPr>
          <w:rFonts w:hint="eastAsia" w:ascii="方正仿宋简体" w:hAnsi="仿宋" w:eastAsia="方正仿宋简体"/>
          <w:sz w:val="32"/>
          <w:szCs w:val="32"/>
        </w:rPr>
        <w:t>分为</w:t>
      </w:r>
      <w:r>
        <w:rPr>
          <w:rFonts w:ascii="方正仿宋简体" w:hAnsi="仿宋" w:eastAsia="方正仿宋简体"/>
          <w:sz w:val="32"/>
          <w:szCs w:val="32"/>
        </w:rPr>
        <w:t>“</w:t>
      </w:r>
      <w:r>
        <w:rPr>
          <w:rFonts w:hint="eastAsia" w:ascii="方正仿宋简体" w:hAnsi="仿宋" w:eastAsia="方正仿宋简体"/>
          <w:sz w:val="32"/>
          <w:szCs w:val="32"/>
        </w:rPr>
        <w:t>差</w:t>
      </w:r>
      <w:r>
        <w:rPr>
          <w:rFonts w:ascii="方正仿宋简体" w:hAnsi="仿宋" w:eastAsia="方正仿宋简体"/>
          <w:sz w:val="32"/>
          <w:szCs w:val="32"/>
        </w:rPr>
        <w:t>”</w:t>
      </w:r>
      <w:r>
        <w:rPr>
          <w:rFonts w:hint="eastAsia" w:ascii="方正仿宋简体" w:hAnsi="仿宋" w:eastAsia="方正仿宋简体"/>
          <w:sz w:val="32"/>
          <w:szCs w:val="32"/>
        </w:rPr>
        <w:t>。</w:t>
      </w:r>
    </w:p>
    <w:p w14:paraId="36D59590">
      <w:pPr>
        <w:spacing w:line="570" w:lineRule="exact"/>
        <w:ind w:firstLine="640" w:firstLineChars="200"/>
        <w:rPr>
          <w:rFonts w:ascii="方正楷体简体" w:hAnsi="宋体" w:eastAsia="方正楷体简体" w:cs="方正仿宋简体"/>
          <w:sz w:val="32"/>
          <w:szCs w:val="32"/>
        </w:rPr>
      </w:pPr>
    </w:p>
    <w:p w14:paraId="0A4BCBF2">
      <w:pPr>
        <w:spacing w:line="57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五、存在的问题及建议</w:t>
      </w:r>
    </w:p>
    <w:p w14:paraId="11B6668F">
      <w:pPr>
        <w:spacing w:line="570" w:lineRule="exact"/>
        <w:ind w:firstLine="640" w:firstLineChars="200"/>
        <w:rPr>
          <w:rFonts w:ascii="楷体" w:hAnsi="楷体" w:eastAsia="楷体"/>
          <w:color w:val="000000" w:themeColor="text1"/>
          <w:sz w:val="32"/>
          <w:szCs w:val="32"/>
        </w:rPr>
      </w:pPr>
      <w:r>
        <w:rPr>
          <w:rFonts w:hint="eastAsia" w:ascii="楷体" w:hAnsi="楷体" w:eastAsia="楷体"/>
          <w:color w:val="000000" w:themeColor="text1"/>
          <w:sz w:val="32"/>
          <w:szCs w:val="32"/>
        </w:rPr>
        <w:t>（一）存在的问题</w:t>
      </w:r>
    </w:p>
    <w:p w14:paraId="29D2C70D">
      <w:pPr>
        <w:spacing w:line="570" w:lineRule="exact"/>
        <w:ind w:firstLine="640" w:firstLineChars="200"/>
        <w:rPr>
          <w:rFonts w:ascii="方正仿宋简体" w:hAnsi="黑体" w:eastAsia="方正仿宋简体"/>
          <w:color w:val="000000" w:themeColor="text1"/>
          <w:sz w:val="32"/>
          <w:szCs w:val="32"/>
        </w:rPr>
      </w:pPr>
      <w:r>
        <w:rPr>
          <w:rFonts w:hint="eastAsia" w:ascii="方正仿宋简体" w:hAnsi="黑体" w:eastAsia="方正仿宋简体"/>
          <w:color w:val="000000" w:themeColor="text1"/>
          <w:sz w:val="32"/>
          <w:szCs w:val="32"/>
        </w:rPr>
        <w:t>存在的问题：</w:t>
      </w:r>
    </w:p>
    <w:p w14:paraId="146BFB20">
      <w:pPr>
        <w:spacing w:line="57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1.教育局专项资金管理制度、资金监管制度及专项资金使用制度，项目定期跟踪制度及检查工作不到位。</w:t>
      </w:r>
    </w:p>
    <w:p w14:paraId="55F07C07">
      <w:pPr>
        <w:spacing w:line="57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2.专项项目资金绩效目标设立的不够科学完善。</w:t>
      </w:r>
    </w:p>
    <w:p w14:paraId="19FBF473">
      <w:pPr>
        <w:spacing w:line="570" w:lineRule="exact"/>
        <w:ind w:firstLine="64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3.根据此次绩效评价工作调查发现，保安人员年龄结构偏大，专业技能水平不够过硬。</w:t>
      </w:r>
    </w:p>
    <w:p w14:paraId="598FED85">
      <w:pPr>
        <w:spacing w:line="57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建议：</w:t>
      </w:r>
    </w:p>
    <w:p w14:paraId="1A1864E3">
      <w:pPr>
        <w:spacing w:line="570" w:lineRule="exact"/>
        <w:ind w:firstLine="640"/>
        <w:rPr>
          <w:rFonts w:ascii="方正仿宋简体" w:hAnsi="仿宋" w:eastAsia="方正仿宋简体" w:cs="Times New Roman"/>
          <w:color w:val="000000"/>
          <w:sz w:val="32"/>
          <w:szCs w:val="32"/>
        </w:rPr>
      </w:pPr>
      <w:r>
        <w:rPr>
          <w:rFonts w:hint="eastAsia" w:ascii="方正仿宋简体" w:hAnsi="仿宋" w:eastAsia="方正仿宋简体"/>
          <w:color w:val="000000" w:themeColor="text1"/>
          <w:sz w:val="32"/>
          <w:szCs w:val="32"/>
        </w:rPr>
        <w:t>1.</w:t>
      </w:r>
      <w:r>
        <w:rPr>
          <w:rFonts w:hint="eastAsia" w:ascii="方正仿宋简体" w:hAnsi="仿宋" w:eastAsia="方正仿宋简体" w:cs="Times New Roman"/>
          <w:color w:val="000000"/>
          <w:sz w:val="32"/>
          <w:szCs w:val="32"/>
        </w:rPr>
        <w:t>教育局需加强相关管理制度的监督工作。</w:t>
      </w:r>
    </w:p>
    <w:p w14:paraId="61085D52">
      <w:pPr>
        <w:spacing w:line="570" w:lineRule="exact"/>
        <w:ind w:firstLine="64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2.建议教育局根据项目设立背景、项目执行计划科学合理设立项目绩效目标。</w:t>
      </w:r>
    </w:p>
    <w:p w14:paraId="77B4B423">
      <w:pPr>
        <w:spacing w:line="570" w:lineRule="exact"/>
        <w:ind w:firstLine="64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3.</w:t>
      </w:r>
      <w:r>
        <w:t xml:space="preserve"> </w:t>
      </w:r>
      <w:r>
        <w:rPr>
          <w:rFonts w:ascii="方正仿宋简体" w:hAnsi="仿宋" w:eastAsia="方正仿宋简体"/>
          <w:color w:val="000000" w:themeColor="text1"/>
          <w:sz w:val="32"/>
          <w:szCs w:val="32"/>
        </w:rPr>
        <w:t>建立完善区级层面的校园周边治安综合治理的长效 机制，做到定期研判校园周边存在的风险和问题，研究解决 措施和方法，定期开展执法检查整治，定期指导保安服务工 作，着力提高安保服务水平和能力。</w:t>
      </w:r>
    </w:p>
    <w:p w14:paraId="49815EB7">
      <w:pPr>
        <w:spacing w:line="570" w:lineRule="exact"/>
        <w:ind w:firstLine="640" w:firstLineChars="200"/>
        <w:rPr>
          <w:rFonts w:ascii="黑体" w:hAnsi="黑体" w:eastAsia="黑体"/>
          <w:sz w:val="32"/>
          <w:szCs w:val="32"/>
        </w:rPr>
      </w:pPr>
      <w:r>
        <w:rPr>
          <w:rFonts w:hint="eastAsia" w:ascii="黑体" w:hAnsi="黑体" w:eastAsia="黑体"/>
          <w:sz w:val="32"/>
          <w:szCs w:val="32"/>
        </w:rPr>
        <w:t>六、绩效评价结果应用</w:t>
      </w:r>
    </w:p>
    <w:p w14:paraId="1AAD65BD">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通过本次绩效评价工作，评价工作组认为芦台经济开发区教育局需在绩效目标设置、项目定期追踪督导、专项资金管理方面进一步完善并加强对保安服务的指导。</w:t>
      </w:r>
    </w:p>
    <w:p w14:paraId="46C973DA">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芦台经济开发区财政局将在一定范围内公开本次评价工作结果，增强主管单位、项目实施单位以及社会各界对绩效评价工作的认识，自主接受社会公众对专项项目实施的监督。</w:t>
      </w:r>
    </w:p>
    <w:p w14:paraId="04C210A6">
      <w:pPr>
        <w:ind w:firstLine="640" w:firstLineChars="200"/>
        <w:rPr>
          <w:rFonts w:ascii="方正仿宋简体" w:eastAsia="方正仿宋简体"/>
          <w:sz w:val="32"/>
          <w:szCs w:val="32"/>
        </w:rPr>
      </w:pPr>
      <w:r>
        <w:rPr>
          <w:rFonts w:hint="eastAsia" w:ascii="宋体" w:hAnsi="宋体" w:eastAsia="方正仿宋简体" w:cs="方正仿宋简体"/>
          <w:color w:val="000000"/>
          <w:sz w:val="32"/>
          <w:szCs w:val="32"/>
        </w:rPr>
        <w:t>财政</w:t>
      </w:r>
      <w:r>
        <w:rPr>
          <w:rFonts w:ascii="宋体" w:hAnsi="宋体" w:eastAsia="方正仿宋简体" w:cs="方正仿宋简体"/>
          <w:color w:val="000000"/>
          <w:sz w:val="32"/>
          <w:szCs w:val="32"/>
        </w:rPr>
        <w:t>绩效</w:t>
      </w:r>
      <w:r>
        <w:rPr>
          <w:rFonts w:hint="eastAsia" w:ascii="宋体" w:hAnsi="宋体" w:eastAsia="方正仿宋简体" w:cs="方正仿宋简体"/>
          <w:color w:val="000000"/>
          <w:sz w:val="32"/>
          <w:szCs w:val="32"/>
        </w:rPr>
        <w:t>评价结果作为财政部门每年安排部门预算资金的重要依据，与以后年度预算编制直接挂钩，加强项目资金使用效益，本次评价结果为优，建议继续保持。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973B2"/>
    <w:multiLevelType w:val="singleLevel"/>
    <w:tmpl w:val="2D1973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10F3"/>
    <w:rsid w:val="000C354A"/>
    <w:rsid w:val="00140486"/>
    <w:rsid w:val="001406A8"/>
    <w:rsid w:val="001B6579"/>
    <w:rsid w:val="002110F3"/>
    <w:rsid w:val="002713DA"/>
    <w:rsid w:val="002F15B1"/>
    <w:rsid w:val="003D73A4"/>
    <w:rsid w:val="004072ED"/>
    <w:rsid w:val="004B090C"/>
    <w:rsid w:val="00527214"/>
    <w:rsid w:val="00582310"/>
    <w:rsid w:val="00676526"/>
    <w:rsid w:val="007A1847"/>
    <w:rsid w:val="007F4221"/>
    <w:rsid w:val="008162FC"/>
    <w:rsid w:val="00887B34"/>
    <w:rsid w:val="00900A46"/>
    <w:rsid w:val="009922A9"/>
    <w:rsid w:val="009A567D"/>
    <w:rsid w:val="009D68CF"/>
    <w:rsid w:val="009F7752"/>
    <w:rsid w:val="00A44625"/>
    <w:rsid w:val="00A90E5A"/>
    <w:rsid w:val="00B16ADB"/>
    <w:rsid w:val="00C516E8"/>
    <w:rsid w:val="00CD26CF"/>
    <w:rsid w:val="00D27655"/>
    <w:rsid w:val="00D42979"/>
    <w:rsid w:val="00D85FA6"/>
    <w:rsid w:val="00DD7448"/>
    <w:rsid w:val="00E735DA"/>
    <w:rsid w:val="00E97F2F"/>
    <w:rsid w:val="00F01182"/>
    <w:rsid w:val="00F1257C"/>
    <w:rsid w:val="00F13585"/>
    <w:rsid w:val="00F9614C"/>
    <w:rsid w:val="00FB495B"/>
    <w:rsid w:val="00FB7A59"/>
    <w:rsid w:val="24D90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5">
    <w:name w:val="Title"/>
    <w:basedOn w:val="1"/>
    <w:next w:val="1"/>
    <w:link w:val="11"/>
    <w:qFormat/>
    <w:uiPriority w:val="0"/>
    <w:pPr>
      <w:spacing w:before="240" w:after="60"/>
      <w:jc w:val="center"/>
      <w:outlineLvl w:val="0"/>
    </w:pPr>
    <w:rPr>
      <w:rFonts w:ascii="Cambria" w:hAnsi="Cambria" w:eastAsia="宋体" w:cs="Times New Roman"/>
      <w:b/>
      <w:bCs/>
      <w:sz w:val="32"/>
      <w:szCs w:val="32"/>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3"/>
    <w:semiHidden/>
    <w:qFormat/>
    <w:uiPriority w:val="99"/>
    <w:rPr>
      <w:sz w:val="18"/>
      <w:szCs w:val="18"/>
    </w:rPr>
  </w:style>
  <w:style w:type="character" w:customStyle="1" w:styleId="10">
    <w:name w:val="页脚 Char"/>
    <w:basedOn w:val="8"/>
    <w:link w:val="2"/>
    <w:semiHidden/>
    <w:qFormat/>
    <w:uiPriority w:val="99"/>
    <w:rPr>
      <w:sz w:val="18"/>
      <w:szCs w:val="18"/>
    </w:rPr>
  </w:style>
  <w:style w:type="character" w:customStyle="1" w:styleId="11">
    <w:name w:val="标题 Char"/>
    <w:basedOn w:val="8"/>
    <w:link w:val="5"/>
    <w:qFormat/>
    <w:uiPriority w:val="0"/>
    <w:rPr>
      <w:rFonts w:ascii="Cambria" w:hAnsi="Cambria" w:eastAsia="宋体" w:cs="Times New Roman"/>
      <w:b/>
      <w:bCs/>
      <w:sz w:val="32"/>
      <w:szCs w:val="32"/>
    </w:rPr>
  </w:style>
  <w:style w:type="character" w:customStyle="1" w:styleId="12">
    <w:name w:val="闻政-正文段落文字 Char"/>
    <w:link w:val="13"/>
    <w:qFormat/>
    <w:uiPriority w:val="3"/>
    <w:rPr>
      <w:rFonts w:eastAsia="仿宋_GB2312"/>
      <w:sz w:val="28"/>
      <w:szCs w:val="28"/>
    </w:rPr>
  </w:style>
  <w:style w:type="paragraph" w:customStyle="1" w:styleId="13">
    <w:name w:val="闻政-正文段落文字"/>
    <w:basedOn w:val="1"/>
    <w:link w:val="12"/>
    <w:qFormat/>
    <w:uiPriority w:val="3"/>
    <w:pPr>
      <w:spacing w:line="500" w:lineRule="exact"/>
      <w:ind w:firstLine="200" w:firstLineChars="200"/>
    </w:pPr>
    <w:rPr>
      <w:rFonts w:eastAsia="仿宋_GB231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CB29D-DC33-487D-AEAD-75C75766A5BB}">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3325</Words>
  <Characters>3464</Characters>
  <Lines>25</Lines>
  <Paragraphs>7</Paragraphs>
  <TotalTime>0</TotalTime>
  <ScaleCrop>false</ScaleCrop>
  <LinksUpToDate>false</LinksUpToDate>
  <CharactersWithSpaces>3475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2022-05-05T05:46:00Z</dcterms:created>
  <dc:creator>Administrator</dc:creator>
  <cp:lastModifiedBy>大橙子</cp:lastModifiedBy>
  <dcterms:modified xsi:type="dcterms:W3CDTF">2025-04-23T02:52:17Z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eyJoZGlkIjoiNjQwNTdjMGQ2MGIwOGZkYmQ5ODVjOTQzZTQ4N2MzYmUiLCJ1c2VySWQiOiI1NjI3NTEzMzkifQ==</vt:lpwstr>
  </property>
  <property fmtid="{D5CDD505-2E9C-101B-9397-08002B2CF9AE}" pid="3" name="KSOProductBuildVer">
    <vt:lpwstr>2052-12.1.0.20784</vt:lpwstr>
  </property>
  <property fmtid="{D5CDD505-2E9C-101B-9397-08002B2CF9AE}" pid="4" name="ICV">
    <vt:lpwstr>985C704E56B241E08B4D8AA8412EC9A6_12</vt:lpwstr>
  </property>
</Properties>
</file>