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F7832">
      <w:pPr>
        <w:pStyle w:val="5"/>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芦台经济开发区财政局202</w:t>
      </w:r>
      <w:r>
        <w:rPr>
          <w:rFonts w:hint="eastAsia" w:ascii="方正小标宋简体" w:hAnsi="宋体" w:eastAsia="方正小标宋简体" w:cs="方正小标宋简体"/>
          <w:b w:val="0"/>
          <w:sz w:val="40"/>
          <w:szCs w:val="40"/>
          <w:lang w:val="en-US" w:eastAsia="zh-CN"/>
        </w:rPr>
        <w:t>1</w:t>
      </w:r>
      <w:r>
        <w:rPr>
          <w:rFonts w:hint="eastAsia" w:ascii="方正小标宋简体" w:hAnsi="宋体" w:eastAsia="方正小标宋简体" w:cs="方正小标宋简体"/>
          <w:b w:val="0"/>
          <w:sz w:val="40"/>
          <w:szCs w:val="40"/>
        </w:rPr>
        <w:t>年度</w:t>
      </w:r>
    </w:p>
    <w:p w14:paraId="15D5EFDD">
      <w:pPr>
        <w:pStyle w:val="5"/>
        <w:widowControl/>
        <w:spacing w:line="570" w:lineRule="exact"/>
        <w:rPr>
          <w:rFonts w:ascii="方正小标宋简体" w:hAnsi="宋体" w:eastAsia="方正小标宋简体" w:cs="方正小标宋简体"/>
          <w:b w:val="0"/>
          <w:sz w:val="40"/>
          <w:szCs w:val="40"/>
        </w:rPr>
      </w:pPr>
      <w:r>
        <w:rPr>
          <w:rFonts w:hint="eastAsia" w:ascii="方正小标宋简体" w:hAnsi="宋体" w:eastAsia="方正小标宋简体" w:cs="方正小标宋简体"/>
          <w:b w:val="0"/>
          <w:sz w:val="40"/>
          <w:szCs w:val="40"/>
        </w:rPr>
        <w:t>校车服务项目专项资金绩效评价报告</w:t>
      </w:r>
    </w:p>
    <w:p w14:paraId="0F619E56">
      <w:pPr>
        <w:spacing w:line="570" w:lineRule="exact"/>
      </w:pPr>
    </w:p>
    <w:p w14:paraId="6F7C68CE">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为促进单位从整体上提升预算绩效管理工作水平，提高财政资金使用效益，保障部门更好地履行职责，指导预算编制，为优化财政支出结构提供决策参考和依据，根据《财政部关于印发&lt;财政支出绩效评价管理暂行办法&gt;的通知》（财预〔2011〕285号）、《中共河北省委 河北省人民政府关于全面实施预算绩效管理的实施意见》（冀发〔2018〕54号）、《中共唐山市委 唐山市人民政府关于全面实施预算绩效管理的实施意见》（唐发〔2019〕22号）等文件精神，财政局对202</w:t>
      </w:r>
      <w:r>
        <w:rPr>
          <w:rFonts w:hint="eastAsia" w:ascii="宋体" w:hAnsi="宋体" w:eastAsia="方正仿宋简体" w:cs="方正仿宋简体"/>
          <w:sz w:val="32"/>
          <w:szCs w:val="32"/>
          <w:lang w:val="en-US" w:eastAsia="zh-CN"/>
        </w:rPr>
        <w:t>1</w:t>
      </w:r>
      <w:r>
        <w:rPr>
          <w:rFonts w:hint="eastAsia" w:ascii="宋体" w:hAnsi="宋体" w:eastAsia="方正仿宋简体" w:cs="方正仿宋简体"/>
          <w:sz w:val="32"/>
          <w:szCs w:val="32"/>
        </w:rPr>
        <w:t>年度教育局校车服务项目专项资金实施财政绩效评价，在单位绩效自评的基础上，从预算执行、履职效益等方面进行了综合评价。现将绩效评价有关情况报告如下：</w:t>
      </w:r>
    </w:p>
    <w:p w14:paraId="5AE1D357">
      <w:pPr>
        <w:spacing w:line="570" w:lineRule="exact"/>
        <w:ind w:firstLine="640" w:firstLineChars="200"/>
        <w:rPr>
          <w:rFonts w:ascii="黑体" w:hAnsi="宋体" w:eastAsia="黑体" w:cs="黑体"/>
          <w:sz w:val="32"/>
          <w:szCs w:val="32"/>
        </w:rPr>
      </w:pPr>
      <w:r>
        <w:rPr>
          <w:rFonts w:hint="eastAsia" w:ascii="黑体" w:hAnsi="宋体" w:eastAsia="黑体" w:cs="黑体"/>
          <w:sz w:val="32"/>
          <w:szCs w:val="32"/>
        </w:rPr>
        <w:t>一、项目基本情况</w:t>
      </w:r>
    </w:p>
    <w:p w14:paraId="377D034E">
      <w:p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（一）项目背景</w:t>
      </w:r>
    </w:p>
    <w:p w14:paraId="42760C38">
      <w:pPr>
        <w:ind w:firstLine="640" w:firstLineChars="200"/>
        <w:rPr>
          <w:rFonts w:ascii="方正仿宋简体" w:eastAsia="方正仿宋简体"/>
          <w:sz w:val="32"/>
          <w:szCs w:val="32"/>
        </w:rPr>
      </w:pPr>
      <w:r>
        <w:rPr>
          <w:rFonts w:hint="eastAsia" w:ascii="方正仿宋简体" w:eastAsia="方正仿宋简体"/>
          <w:sz w:val="32"/>
          <w:szCs w:val="32"/>
        </w:rPr>
        <w:t>随着我国经济不断发展，国家各项惠民工程的推进，我区积极响应国家政策，为切实解决在校学生上下学路途较远、交通及安全问题，我区自2019年9月开始以政府购买服务的方式为第二小学学生购买了标准专用校车服务，校车数量为6辆，以学生家庭合理负担和财政补贴的方式分摊资金。</w:t>
      </w:r>
    </w:p>
    <w:p w14:paraId="54931FD1">
      <w:pPr>
        <w:ind w:firstLine="640" w:firstLineChars="200"/>
        <w:rPr>
          <w:rFonts w:ascii="方正仿宋简体" w:eastAsia="方正仿宋简体"/>
          <w:sz w:val="32"/>
          <w:szCs w:val="32"/>
        </w:rPr>
      </w:pPr>
      <w:r>
        <w:rPr>
          <w:rFonts w:hint="eastAsia" w:ascii="方正仿宋简体" w:eastAsia="方正仿宋简体"/>
          <w:sz w:val="32"/>
          <w:szCs w:val="32"/>
        </w:rPr>
        <w:t>校车服务由芦台经济开发区教育局与</w:t>
      </w:r>
      <w:r>
        <w:rPr>
          <w:rFonts w:hint="eastAsia" w:ascii="方正仿宋简体" w:hAnsi="Calibri" w:eastAsia="方正仿宋简体" w:cs="Times New Roman"/>
          <w:sz w:val="32"/>
          <w:szCs w:val="32"/>
        </w:rPr>
        <w:t>天津昶通运业有限公司</w:t>
      </w:r>
      <w:r>
        <w:rPr>
          <w:rFonts w:hint="eastAsia" w:ascii="方正仿宋简体" w:eastAsia="方正仿宋简体"/>
          <w:sz w:val="32"/>
          <w:szCs w:val="32"/>
        </w:rPr>
        <w:t>签订，自2019年9月1日起至2027年8月31日止。校车运行时间为四至六年级上午7:40到校，11:40放学。一至三年级8:00到校，11:20放学。下午四至六年级1:20到校，5:20放学。一至三年级1:40到校，5:00放学。</w:t>
      </w:r>
    </w:p>
    <w:p w14:paraId="6FF96B61">
      <w:pPr>
        <w:numPr>
          <w:ilvl w:val="0"/>
          <w:numId w:val="1"/>
        </w:numPr>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绩效目标</w:t>
      </w:r>
    </w:p>
    <w:p w14:paraId="2108ED08">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通过对政府购买校车服务进行财政补贴，完善政策支持，核定本项目绩效目标：</w:t>
      </w:r>
    </w:p>
    <w:p w14:paraId="325DEC4D">
      <w:pPr>
        <w:ind w:firstLine="640" w:firstLineChars="200"/>
        <w:rPr>
          <w:rFonts w:ascii="方正仿宋简体" w:eastAsia="方正仿宋简体"/>
          <w:sz w:val="32"/>
          <w:szCs w:val="32"/>
        </w:rPr>
      </w:pPr>
      <w:r>
        <w:rPr>
          <w:rFonts w:hint="eastAsia" w:ascii="方正仿宋简体" w:eastAsia="方正仿宋简体"/>
          <w:sz w:val="32"/>
          <w:szCs w:val="32"/>
        </w:rPr>
        <w:t>解决第二小学在学学生上下学不便的情况，保障乘车学生的人身财产安全，</w:t>
      </w:r>
      <w:r>
        <w:rPr>
          <w:rFonts w:ascii="方正仿宋简体" w:eastAsia="方正仿宋简体"/>
          <w:sz w:val="32"/>
          <w:szCs w:val="32"/>
        </w:rPr>
        <w:t>确保校车运营安全，督促校车使用单位加强校车安全管理，规范运营行为，</w:t>
      </w:r>
      <w:r>
        <w:rPr>
          <w:rFonts w:hint="eastAsia" w:ascii="方正仿宋简体" w:eastAsia="方正仿宋简体"/>
          <w:sz w:val="32"/>
          <w:szCs w:val="32"/>
        </w:rPr>
        <w:t>推动校车服务惠民工程的开展与落实。</w:t>
      </w:r>
    </w:p>
    <w:p w14:paraId="2FDCAAF8">
      <w:pPr>
        <w:spacing w:line="570" w:lineRule="exact"/>
        <w:ind w:firstLine="640" w:firstLineChars="200"/>
        <w:rPr>
          <w:rFonts w:ascii="黑体" w:hAnsi="宋体" w:eastAsia="黑体" w:cs="黑体"/>
          <w:color w:val="000000"/>
          <w:sz w:val="32"/>
          <w:szCs w:val="32"/>
        </w:rPr>
      </w:pPr>
      <w:r>
        <w:rPr>
          <w:rFonts w:hint="eastAsia" w:ascii="黑体" w:hAnsi="宋体" w:eastAsia="黑体" w:cs="黑体"/>
          <w:color w:val="000000"/>
          <w:sz w:val="32"/>
          <w:szCs w:val="32"/>
        </w:rPr>
        <w:t>二、绩效评价工作情况</w:t>
      </w:r>
    </w:p>
    <w:p w14:paraId="008183E0">
      <w:pPr>
        <w:spacing w:line="570" w:lineRule="exact"/>
        <w:ind w:firstLine="640" w:firstLineChars="200"/>
        <w:rPr>
          <w:rFonts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（一）绩效评价目的</w:t>
      </w:r>
    </w:p>
    <w:p w14:paraId="2DCE2C5A">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项目绩效评价是围绕项目整体目标的实现和产出情况的综合评价，对一个项目开展绩效评价能够洞悉资源配置的有效情况以及实施过程中所遇到的实际问题和反馈，从而可以从更加宏观的层面把握项目资源配置的合理性和资金运用效益，对项目进行及时的调整和完善。</w:t>
      </w:r>
    </w:p>
    <w:p w14:paraId="42FD51E8">
      <w:pPr>
        <w:spacing w:line="570" w:lineRule="exact"/>
        <w:ind w:firstLine="640" w:firstLineChars="200"/>
        <w:rPr>
          <w:rFonts w:ascii="方正仿宋简体" w:hAnsi="宋体" w:eastAsia="方正仿宋简体" w:cs="方正仿宋简体"/>
          <w:color w:val="000000"/>
          <w:sz w:val="32"/>
          <w:szCs w:val="32"/>
        </w:rPr>
      </w:pPr>
      <w:r>
        <w:rPr>
          <w:rFonts w:hint="eastAsia" w:ascii="方正仿宋简体" w:hAnsi="宋体" w:eastAsia="方正仿宋简体" w:cs="方正仿宋简体"/>
          <w:color w:val="000000"/>
          <w:sz w:val="32"/>
          <w:szCs w:val="32"/>
        </w:rPr>
        <w:t>根据项目资金设定绩效目标，全面审查项目资金使用合规性、台账建立情况、2021年度政府购买校车服务专项资金的使用情况和取得的成效，综合分析评价专项资金的分配使用情况，及时发现问题、强化改进措施、注重总结经验，进一步加强和规范项目资金的使用管理，切实提高财政资金使用效益和项目绩效管理水平，聚焦民生发展，与以后年度预算编制和绩效目标形成关联机制，为优化财政支出结构提供决策参考和依据。</w:t>
      </w:r>
    </w:p>
    <w:p w14:paraId="3A2572F9">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（二）绩效评价原则、评价指标体系、评价方法</w:t>
      </w:r>
    </w:p>
    <w:p w14:paraId="705CA967">
      <w:pPr>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1.绩效评价原则</w:t>
      </w:r>
    </w:p>
    <w:p w14:paraId="651F4C37">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财政支出绩效评价应当遵循以下基本原则：</w:t>
      </w:r>
    </w:p>
    <w:p w14:paraId="30AB0B5B">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（1）科学规范原则。绩效评价应当注重财政支出的效率性和有效性，严格执行规定的程序。</w:t>
      </w:r>
    </w:p>
    <w:p w14:paraId="7961AD91">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（2）公正公开原则。绩效评价应当客观、公正，标准统一、资料可靠，依法公开并接受监督。</w:t>
      </w:r>
    </w:p>
    <w:p w14:paraId="4A581A50">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（3）绩效相关原则。绩效评价应当针对具体支出及其产出绩效进行，评价结果应清晰反映支出和产出绩效之间的相互对应关系。</w:t>
      </w:r>
    </w:p>
    <w:p w14:paraId="5760E09C">
      <w:pPr>
        <w:spacing w:line="570" w:lineRule="exact"/>
        <w:ind w:firstLine="640" w:firstLineChars="200"/>
        <w:rPr>
          <w:rFonts w:ascii="方正仿宋简体" w:hAnsi="宋体" w:eastAsia="方正仿宋简体" w:cs="方正仿宋简体"/>
          <w:b/>
          <w:sz w:val="32"/>
          <w:szCs w:val="32"/>
        </w:rPr>
      </w:pPr>
      <w:r>
        <w:rPr>
          <w:rFonts w:hint="eastAsia" w:ascii="方正仿宋简体" w:hAnsi="宋体" w:eastAsia="方正仿宋简体" w:cs="方正仿宋简体"/>
          <w:bCs/>
          <w:sz w:val="32"/>
          <w:szCs w:val="32"/>
        </w:rPr>
        <w:t>2.评价方法</w:t>
      </w:r>
    </w:p>
    <w:p w14:paraId="7F7A7A8E">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本次绩效评价由财政局和教育局协调相关单位开展工作，通过分析</w:t>
      </w:r>
      <w:r>
        <w:rPr>
          <w:rFonts w:hint="eastAsia" w:ascii="方正仿宋简体" w:hAnsi="宋体" w:eastAsia="方正仿宋简体" w:cs="方正仿宋简体"/>
          <w:color w:val="000000"/>
          <w:sz w:val="32"/>
          <w:szCs w:val="32"/>
        </w:rPr>
        <w:t>购买校车服务</w:t>
      </w:r>
      <w:r>
        <w:rPr>
          <w:rFonts w:hint="eastAsia" w:ascii="方正仿宋简体" w:hAnsi="宋体" w:eastAsia="方正仿宋简体" w:cs="方正仿宋简体"/>
          <w:sz w:val="32"/>
          <w:szCs w:val="32"/>
        </w:rPr>
        <w:t>项目相关材料、</w:t>
      </w:r>
      <w:r>
        <w:rPr>
          <w:rFonts w:hint="eastAsia" w:ascii="方正仿宋简体" w:hAnsi="宋体" w:eastAsia="方正仿宋简体" w:cs="方正仿宋简体"/>
          <w:color w:val="000000"/>
          <w:sz w:val="32"/>
          <w:szCs w:val="32"/>
        </w:rPr>
        <w:t>购买校车服务</w:t>
      </w:r>
      <w:r>
        <w:rPr>
          <w:rFonts w:hint="eastAsia" w:ascii="方正仿宋简体" w:hAnsi="宋体" w:eastAsia="方正仿宋简体" w:cs="方正仿宋简体"/>
          <w:sz w:val="32"/>
          <w:szCs w:val="32"/>
        </w:rPr>
        <w:t>资金执行情况、财政资金绩效目标完成情况和实地调研，对财政资金政策的公平性、资金使用的规范性、资金分配的合理性、资金拨付的及时性、资金使用的有效性以及产出效果的有效性等进行综合分析，形成绩效评价报告。</w:t>
      </w:r>
    </w:p>
    <w:p w14:paraId="0E797B4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评价方法坚持全面核查与综合分析相结合的方式，评价项目实施绩效。</w:t>
      </w:r>
    </w:p>
    <w:p w14:paraId="7B6CC3C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3.评价标准及依据</w:t>
      </w:r>
    </w:p>
    <w:p w14:paraId="4FE149D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《芦台经济开发区区级部门预算绩效管理办法》（芦财绩〔2019〕4号）</w:t>
      </w:r>
    </w:p>
    <w:p w14:paraId="206AD75B">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《芦台经济开发区区级部门（单位）预算绩效管理工作考核办法（试行）》（芦财绩〔2019〕5号）</w:t>
      </w:r>
    </w:p>
    <w:p w14:paraId="7E75F818">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《芦台经济开发区开发区区级项目支出绩效自评办法》（芦财绩〔2020〕2号）</w:t>
      </w:r>
    </w:p>
    <w:p w14:paraId="35C4A7D8">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《芦台经济开发区项目支出绩效评价管理办法》（芦财绩〔2020〕5号）文件</w:t>
      </w:r>
    </w:p>
    <w:p w14:paraId="3C257B07">
      <w:pPr>
        <w:pStyle w:val="4"/>
        <w:spacing w:before="0" w:beforeAutospacing="0" w:after="0" w:afterAutospacing="0" w:line="570" w:lineRule="exact"/>
        <w:ind w:firstLine="640" w:firstLineChars="200"/>
        <w:jc w:val="both"/>
        <w:rPr>
          <w:rFonts w:ascii="方正仿宋简体" w:eastAsia="方正仿宋简体" w:cs="方正仿宋简体"/>
          <w:bCs/>
          <w:color w:val="333333"/>
          <w:sz w:val="32"/>
          <w:szCs w:val="32"/>
        </w:rPr>
      </w:pPr>
      <w:r>
        <w:rPr>
          <w:rFonts w:hint="eastAsia" w:ascii="方正仿宋简体" w:eastAsia="方正仿宋简体" w:cs="方正仿宋简体"/>
          <w:bCs/>
          <w:color w:val="333333"/>
          <w:sz w:val="32"/>
          <w:szCs w:val="32"/>
        </w:rPr>
        <w:t>4．分析评价</w:t>
      </w:r>
    </w:p>
    <w:p w14:paraId="5D9E57C3">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财政局预算绩效科根据上述工作取得的资料和自评结果，结合实地考察情况，对项目实施情况、绩效分析与结论、主要经验与做法、存在的问题和建议等内容进行综合分析，出具财政评价报告。</w:t>
      </w:r>
    </w:p>
    <w:p w14:paraId="40BA1A9C">
      <w:pPr>
        <w:pStyle w:val="4"/>
        <w:spacing w:before="0" w:beforeAutospacing="0" w:after="0" w:afterAutospacing="0" w:line="570" w:lineRule="exact"/>
        <w:ind w:firstLine="640" w:firstLineChars="200"/>
        <w:jc w:val="both"/>
        <w:rPr>
          <w:rFonts w:ascii="黑体" w:hAnsi="黑体" w:eastAsia="黑体" w:cs="Times New Roman"/>
          <w:color w:val="333333"/>
          <w:sz w:val="32"/>
          <w:szCs w:val="32"/>
        </w:rPr>
      </w:pPr>
      <w:r>
        <w:rPr>
          <w:rFonts w:hint="eastAsia" w:ascii="黑体" w:hAnsi="黑体" w:eastAsia="黑体" w:cs="Times New Roman"/>
          <w:color w:val="333333"/>
          <w:sz w:val="32"/>
          <w:szCs w:val="32"/>
        </w:rPr>
        <w:t>三、绩效评价指标分析情况</w:t>
      </w:r>
    </w:p>
    <w:p w14:paraId="3ECB9265">
      <w:pPr>
        <w:spacing w:line="570" w:lineRule="exact"/>
        <w:ind w:firstLine="640" w:firstLineChars="2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（一）专项资金政策情况</w:t>
      </w:r>
    </w:p>
    <w:p w14:paraId="4FB22126">
      <w:pPr>
        <w:spacing w:line="570" w:lineRule="exact"/>
        <w:ind w:firstLine="640" w:firstLineChars="200"/>
        <w:rPr>
          <w:rFonts w:ascii="宋体" w:hAnsi="宋体" w:eastAsia="方正仿宋简体" w:cs="方正仿宋简体"/>
          <w:sz w:val="32"/>
          <w:szCs w:val="32"/>
        </w:rPr>
      </w:pPr>
      <w:r>
        <w:rPr>
          <w:rFonts w:hint="eastAsia" w:ascii="宋体" w:hAnsi="宋体" w:eastAsia="方正仿宋简体" w:cs="方正仿宋简体"/>
          <w:sz w:val="32"/>
          <w:szCs w:val="32"/>
        </w:rPr>
        <w:t>为进一步提升政府购买校车专项资金使用管理的规范性、有效性，进一步加强财政专项政府购买校车服务资金管理工作，切实提高财政资金使用效益。依据文件以下文件开展工作：</w:t>
      </w:r>
    </w:p>
    <w:p w14:paraId="7315801C">
      <w:pPr>
        <w:rPr>
          <w:rFonts w:ascii="方正仿宋简体" w:eastAsia="方正仿宋简体"/>
          <w:sz w:val="32"/>
          <w:szCs w:val="32"/>
        </w:rPr>
      </w:pPr>
      <w:r>
        <w:rPr>
          <w:rFonts w:ascii="方正仿宋简体" w:eastAsia="方正仿宋简体"/>
          <w:sz w:val="32"/>
          <w:szCs w:val="32"/>
        </w:rPr>
        <w:t>《</w:t>
      </w:r>
      <w:r>
        <w:rPr>
          <w:rFonts w:hint="eastAsia" w:ascii="方正仿宋简体" w:eastAsia="方正仿宋简体"/>
          <w:sz w:val="32"/>
          <w:szCs w:val="32"/>
        </w:rPr>
        <w:t>GB29315-2012中小学、幼儿园安全技术防范系统要求</w:t>
      </w:r>
      <w:r>
        <w:rPr>
          <w:rFonts w:ascii="方正仿宋简体" w:eastAsia="方正仿宋简体"/>
          <w:sz w:val="32"/>
          <w:szCs w:val="32"/>
        </w:rPr>
        <w:t>》（国标）</w:t>
      </w:r>
    </w:p>
    <w:p w14:paraId="58C87995">
      <w:pPr>
        <w:rPr>
          <w:rFonts w:ascii="方正仿宋简体" w:hAnsi="Calibri" w:eastAsia="方正仿宋简体" w:cs="Times New Roman"/>
          <w:sz w:val="32"/>
          <w:szCs w:val="32"/>
        </w:rPr>
      </w:pPr>
      <w:r>
        <w:rPr>
          <w:rFonts w:ascii="方正仿宋简体" w:hAnsi="Calibri" w:eastAsia="方正仿宋简体" w:cs="Times New Roman"/>
          <w:sz w:val="32"/>
          <w:szCs w:val="32"/>
        </w:rPr>
        <w:t>《河北省学校安全条例》（河北省第十三届人民代表大会常务委员会公告第</w:t>
      </w:r>
      <w:r>
        <w:rPr>
          <w:rFonts w:hint="eastAsia" w:ascii="方正仿宋简体" w:hAnsi="Calibri" w:eastAsia="方正仿宋简体" w:cs="Times New Roman"/>
          <w:sz w:val="32"/>
          <w:szCs w:val="32"/>
        </w:rPr>
        <w:t>38号</w:t>
      </w:r>
      <w:r>
        <w:rPr>
          <w:rFonts w:ascii="方正仿宋简体" w:hAnsi="Calibri" w:eastAsia="方正仿宋简体" w:cs="Times New Roman"/>
          <w:sz w:val="32"/>
          <w:szCs w:val="32"/>
        </w:rPr>
        <w:t>）</w:t>
      </w:r>
    </w:p>
    <w:p w14:paraId="23D0AEA0">
      <w:pPr>
        <w:rPr>
          <w:rFonts w:ascii="方正仿宋简体" w:hAnsi="Calibri" w:eastAsia="方正仿宋简体" w:cs="Times New Roman"/>
          <w:sz w:val="32"/>
          <w:szCs w:val="32"/>
        </w:rPr>
      </w:pPr>
      <w:r>
        <w:rPr>
          <w:rFonts w:hint="eastAsia" w:ascii="方正仿宋简体" w:hAnsi="Calibri" w:eastAsia="方正仿宋简体" w:cs="Times New Roman"/>
          <w:sz w:val="32"/>
          <w:szCs w:val="32"/>
        </w:rPr>
        <w:t>《中小学幼儿园安全管理条例》（中华人民共和国教育部令 第23号）</w:t>
      </w:r>
    </w:p>
    <w:p w14:paraId="0B0308D8">
      <w:pPr>
        <w:rPr>
          <w:rFonts w:ascii="方正仿宋简体" w:hAnsi="Calibri" w:eastAsia="方正仿宋简体" w:cs="Times New Roman"/>
          <w:sz w:val="32"/>
          <w:szCs w:val="32"/>
        </w:rPr>
      </w:pPr>
      <w:r>
        <w:rPr>
          <w:rFonts w:ascii="方正仿宋简体" w:hAnsi="Calibri" w:eastAsia="方正仿宋简体" w:cs="Times New Roman"/>
          <w:sz w:val="32"/>
          <w:szCs w:val="32"/>
        </w:rPr>
        <w:t>《</w:t>
      </w:r>
      <w:r>
        <w:rPr>
          <w:rFonts w:hint="eastAsia" w:ascii="方正仿宋简体" w:hAnsi="Calibri" w:eastAsia="方正仿宋简体" w:cs="Times New Roman"/>
          <w:sz w:val="32"/>
          <w:szCs w:val="32"/>
        </w:rPr>
        <w:t>河北省教育厅河北省公安厅关于进一步加强学校及周边治安防范工作的意见</w:t>
      </w:r>
      <w:r>
        <w:rPr>
          <w:rFonts w:ascii="方正仿宋简体" w:hAnsi="Calibri" w:eastAsia="方正仿宋简体" w:cs="Times New Roman"/>
          <w:sz w:val="32"/>
          <w:szCs w:val="32"/>
        </w:rPr>
        <w:t>》（</w:t>
      </w:r>
      <w:r>
        <w:rPr>
          <w:rFonts w:hint="eastAsia" w:ascii="方正仿宋简体" w:hAnsi="Calibri" w:eastAsia="方正仿宋简体" w:cs="Times New Roman"/>
          <w:sz w:val="32"/>
          <w:szCs w:val="32"/>
        </w:rPr>
        <w:t>冀教安〔2019〕7号</w:t>
      </w:r>
      <w:r>
        <w:rPr>
          <w:rFonts w:ascii="方正仿宋简体" w:hAnsi="Calibri" w:eastAsia="方正仿宋简体" w:cs="Times New Roman"/>
          <w:sz w:val="32"/>
          <w:szCs w:val="32"/>
        </w:rPr>
        <w:t>）</w:t>
      </w:r>
    </w:p>
    <w:p w14:paraId="0A4D46B0">
      <w:pPr>
        <w:spacing w:line="570" w:lineRule="exact"/>
        <w:ind w:firstLine="640" w:firstLineChars="200"/>
        <w:rPr>
          <w:rFonts w:ascii="楷体" w:hAnsi="楷体" w:eastAsia="楷体"/>
          <w:sz w:val="32"/>
          <w:szCs w:val="32"/>
        </w:rPr>
      </w:pPr>
      <w:r>
        <w:rPr>
          <w:rFonts w:hint="eastAsia" w:ascii="楷体" w:hAnsi="楷体" w:eastAsia="楷体"/>
          <w:sz w:val="32"/>
          <w:szCs w:val="32"/>
        </w:rPr>
        <w:t>（二）专项资金安排情况</w:t>
      </w:r>
    </w:p>
    <w:p w14:paraId="7A48A0C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 xml:space="preserve"> 2021年度芦台经济开发区政府购买校车服务项目专项资金共计157万元。实际因疫情影响投入资金为</w:t>
      </w:r>
      <w:r>
        <w:rPr>
          <w:rFonts w:hint="eastAsia" w:ascii="方正仿宋简体" w:hAnsi="宋体" w:eastAsia="方正仿宋简体" w:cs="宋体"/>
          <w:kern w:val="0"/>
          <w:sz w:val="32"/>
          <w:szCs w:val="32"/>
        </w:rPr>
        <w:t>140.66748</w:t>
      </w:r>
      <w:r>
        <w:rPr>
          <w:rFonts w:hint="eastAsia" w:ascii="方正仿宋简体" w:hAnsi="宋体" w:eastAsia="方正仿宋简体" w:cs="方正仿宋简体"/>
          <w:sz w:val="32"/>
          <w:szCs w:val="32"/>
        </w:rPr>
        <w:t>万元，全部资金由区财政补贴。</w:t>
      </w:r>
    </w:p>
    <w:p w14:paraId="12C5C5CC">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区财政补贴于2021年2月18日拨款至芦台经济开发区教育局，资金到位率为100%。</w:t>
      </w:r>
    </w:p>
    <w:p w14:paraId="04B5C0CE">
      <w:pPr>
        <w:spacing w:line="570" w:lineRule="exact"/>
        <w:ind w:firstLine="640" w:firstLineChars="200"/>
        <w:rPr>
          <w:rFonts w:ascii="方正楷体简体" w:hAnsi="宋体" w:eastAsia="方正楷体简体" w:cs="方正仿宋简体"/>
          <w:sz w:val="32"/>
          <w:szCs w:val="32"/>
        </w:rPr>
      </w:pPr>
      <w:r>
        <w:rPr>
          <w:rFonts w:hint="eastAsia" w:ascii="方正楷体简体" w:hAnsi="宋体" w:eastAsia="方正楷体简体" w:cs="方正仿宋简体"/>
          <w:sz w:val="32"/>
          <w:szCs w:val="32"/>
        </w:rPr>
        <w:t>（三）专项资金管理情况</w:t>
      </w:r>
    </w:p>
    <w:p w14:paraId="18509C36">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2021年度政府购买校车服务专项资金由财政局按规定拨款至芦台经济开</w:t>
      </w:r>
      <w:r>
        <w:rPr>
          <w:rFonts w:hint="eastAsia" w:ascii="方正仿宋简体" w:hAnsi="宋体" w:eastAsia="方正仿宋简体" w:cs="方正仿宋简体"/>
          <w:sz w:val="32"/>
          <w:szCs w:val="32"/>
          <w:lang w:val="en-US" w:eastAsia="zh-CN"/>
        </w:rPr>
        <w:t>发</w:t>
      </w:r>
      <w:r>
        <w:rPr>
          <w:rFonts w:hint="eastAsia" w:ascii="方正仿宋简体" w:hAnsi="宋体" w:eastAsia="方正仿宋简体" w:cs="方正仿宋简体"/>
          <w:sz w:val="32"/>
          <w:szCs w:val="32"/>
        </w:rPr>
        <w:t>区教育局，由教育局在接到专项资金后按相关规定严格使用资金，教育局已安排项目负责专人对项目进行执行与监督。</w:t>
      </w:r>
    </w:p>
    <w:p w14:paraId="077222E2">
      <w:pPr>
        <w:spacing w:line="570" w:lineRule="exact"/>
        <w:ind w:firstLine="640" w:firstLineChars="200"/>
        <w:rPr>
          <w:rFonts w:ascii="方正楷体简体" w:hAnsi="宋体" w:eastAsia="方正楷体简体" w:cs="方正仿宋简体"/>
          <w:sz w:val="32"/>
          <w:szCs w:val="32"/>
        </w:rPr>
      </w:pPr>
      <w:r>
        <w:rPr>
          <w:rFonts w:hint="eastAsia" w:ascii="方正楷体简体" w:hAnsi="宋体" w:eastAsia="方正楷体简体" w:cs="方正仿宋简体"/>
          <w:sz w:val="32"/>
          <w:szCs w:val="32"/>
        </w:rPr>
        <w:t>（四）专项资金绩效情况</w:t>
      </w:r>
    </w:p>
    <w:p w14:paraId="23EF6F9B">
      <w:pPr>
        <w:spacing w:line="570" w:lineRule="exact"/>
        <w:ind w:firstLine="640" w:firstLineChars="200"/>
        <w:rPr>
          <w:rFonts w:ascii="方正仿宋简体" w:hAnsi="宋体" w:eastAsia="方正仿宋简体" w:cs="方正仿宋简体"/>
          <w:sz w:val="32"/>
          <w:szCs w:val="32"/>
        </w:rPr>
      </w:pPr>
      <w:r>
        <w:rPr>
          <w:rFonts w:ascii="方正仿宋简体" w:hAnsi="宋体" w:eastAsia="方正仿宋简体" w:cs="方正仿宋简体"/>
          <w:sz w:val="32"/>
          <w:szCs w:val="32"/>
        </w:rPr>
        <w:t>截止至</w:t>
      </w:r>
      <w:r>
        <w:rPr>
          <w:rFonts w:hint="eastAsia" w:ascii="方正仿宋简体" w:hAnsi="宋体" w:eastAsia="方正仿宋简体" w:cs="方正仿宋简体"/>
          <w:sz w:val="32"/>
          <w:szCs w:val="32"/>
        </w:rPr>
        <w:t>2021年12月31日，芦台经济开</w:t>
      </w:r>
      <w:r>
        <w:rPr>
          <w:rFonts w:hint="eastAsia" w:ascii="方正仿宋简体" w:hAnsi="宋体" w:eastAsia="方正仿宋简体" w:cs="方正仿宋简体"/>
          <w:sz w:val="32"/>
          <w:szCs w:val="32"/>
          <w:lang w:val="en-US" w:eastAsia="zh-CN"/>
        </w:rPr>
        <w:t>发</w:t>
      </w:r>
      <w:bookmarkStart w:id="0" w:name="_GoBack"/>
      <w:bookmarkEnd w:id="0"/>
      <w:r>
        <w:rPr>
          <w:rFonts w:hint="eastAsia" w:ascii="方正仿宋简体" w:hAnsi="宋体" w:eastAsia="方正仿宋简体" w:cs="方正仿宋简体"/>
          <w:sz w:val="32"/>
          <w:szCs w:val="32"/>
        </w:rPr>
        <w:t>区财政局共拨付2020年度政府购买校车服务专项资金157万元，实际支出140.66748万元。资金全部用于校车服务项目执行过程中的执行费、保险及税金、工资和燃油等发生的成本费用，并严格按照月度考核表的结果拨付资金,</w:t>
      </w:r>
      <w:r>
        <w:rPr>
          <w:rFonts w:hint="eastAsia" w:ascii="方正仿宋简体" w:hAnsi="方正楷体简体" w:eastAsia="方正仿宋简体" w:cs="方正楷体简体"/>
          <w:sz w:val="32"/>
          <w:szCs w:val="32"/>
        </w:rPr>
        <w:t xml:space="preserve"> </w:t>
      </w:r>
      <w:r>
        <w:rPr>
          <w:rFonts w:hint="eastAsia" w:ascii="方正仿宋简体" w:hAnsi="宋体" w:eastAsia="方正仿宋简体" w:cs="方正仿宋简体"/>
          <w:sz w:val="32"/>
          <w:szCs w:val="32"/>
        </w:rPr>
        <w:t>资金使用符合国家法制制度规定，不存在资金截留、挤占等现象。</w:t>
      </w:r>
    </w:p>
    <w:p w14:paraId="051DB06D">
      <w:pPr>
        <w:spacing w:line="570" w:lineRule="exact"/>
        <w:ind w:firstLine="640" w:firstLineChars="200"/>
        <w:rPr>
          <w:rFonts w:ascii="方正仿宋简体" w:hAnsi="宋体" w:eastAsia="方正仿宋简体" w:cs="方正仿宋简体"/>
          <w:sz w:val="32"/>
          <w:szCs w:val="32"/>
        </w:rPr>
      </w:pPr>
    </w:p>
    <w:p w14:paraId="7C44BB2C">
      <w:pPr>
        <w:spacing w:line="570" w:lineRule="exact"/>
        <w:ind w:firstLine="640" w:firstLineChars="200"/>
        <w:rPr>
          <w:rFonts w:ascii="黑体" w:hAnsi="黑体" w:eastAsia="黑体"/>
          <w:sz w:val="32"/>
          <w:szCs w:val="32"/>
        </w:rPr>
      </w:pPr>
      <w:r>
        <w:rPr>
          <w:rFonts w:hint="eastAsia" w:ascii="黑体" w:hAnsi="黑体" w:eastAsia="黑体"/>
          <w:sz w:val="32"/>
          <w:szCs w:val="32"/>
        </w:rPr>
        <w:t>四、综合评价情况及评价结论</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0"/>
        <w:gridCol w:w="1880"/>
        <w:gridCol w:w="2899"/>
        <w:gridCol w:w="1021"/>
        <w:gridCol w:w="1012"/>
      </w:tblGrid>
      <w:tr w14:paraId="291796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12255" w:type="dxa"/>
            <w:gridSpan w:val="5"/>
            <w:noWrap/>
          </w:tcPr>
          <w:p w14:paraId="2113E307">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教育校车项目财政评价绩效评价得分表</w:t>
            </w:r>
          </w:p>
        </w:tc>
      </w:tr>
      <w:tr w14:paraId="2B15F3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2460" w:type="dxa"/>
          </w:tcPr>
          <w:p w14:paraId="0D84278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一级指标</w:t>
            </w:r>
          </w:p>
        </w:tc>
        <w:tc>
          <w:tcPr>
            <w:tcW w:w="2715" w:type="dxa"/>
          </w:tcPr>
          <w:p w14:paraId="6242762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二级指标</w:t>
            </w:r>
          </w:p>
        </w:tc>
        <w:tc>
          <w:tcPr>
            <w:tcW w:w="4245" w:type="dxa"/>
          </w:tcPr>
          <w:p w14:paraId="69EF34D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三级指标</w:t>
            </w:r>
          </w:p>
        </w:tc>
        <w:tc>
          <w:tcPr>
            <w:tcW w:w="1425" w:type="dxa"/>
          </w:tcPr>
          <w:p w14:paraId="15B2AB1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分值权重</w:t>
            </w:r>
          </w:p>
        </w:tc>
        <w:tc>
          <w:tcPr>
            <w:tcW w:w="1410" w:type="dxa"/>
          </w:tcPr>
          <w:p w14:paraId="7C9F00F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得分</w:t>
            </w:r>
          </w:p>
        </w:tc>
      </w:tr>
      <w:tr w14:paraId="0952AE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25D8D0D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投入(25分）</w:t>
            </w:r>
          </w:p>
        </w:tc>
        <w:tc>
          <w:tcPr>
            <w:tcW w:w="2715" w:type="dxa"/>
            <w:noWrap/>
          </w:tcPr>
          <w:p w14:paraId="18D2715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项目立项</w:t>
            </w:r>
          </w:p>
        </w:tc>
        <w:tc>
          <w:tcPr>
            <w:tcW w:w="4245" w:type="dxa"/>
            <w:noWrap/>
          </w:tcPr>
          <w:p w14:paraId="7AE39C2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项目立项充分性</w:t>
            </w:r>
          </w:p>
        </w:tc>
        <w:tc>
          <w:tcPr>
            <w:tcW w:w="1425" w:type="dxa"/>
            <w:noWrap/>
          </w:tcPr>
          <w:p w14:paraId="5625E9E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09A941C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w:t>
            </w:r>
          </w:p>
        </w:tc>
      </w:tr>
      <w:tr w14:paraId="462FAC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65FA9FDB">
            <w:pPr>
              <w:spacing w:line="570" w:lineRule="exact"/>
              <w:ind w:firstLine="420" w:firstLineChars="200"/>
              <w:rPr>
                <w:rFonts w:ascii="方正仿宋简体" w:hAnsi="黑体" w:eastAsia="方正仿宋简体"/>
                <w:szCs w:val="21"/>
              </w:rPr>
            </w:pPr>
          </w:p>
        </w:tc>
        <w:tc>
          <w:tcPr>
            <w:tcW w:w="2715" w:type="dxa"/>
            <w:vMerge w:val="restart"/>
            <w:noWrap/>
          </w:tcPr>
          <w:p w14:paraId="233B107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绩效目标</w:t>
            </w:r>
          </w:p>
        </w:tc>
        <w:tc>
          <w:tcPr>
            <w:tcW w:w="4245" w:type="dxa"/>
            <w:noWrap/>
          </w:tcPr>
          <w:p w14:paraId="7E89AB9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绩效目标合理性</w:t>
            </w:r>
          </w:p>
        </w:tc>
        <w:tc>
          <w:tcPr>
            <w:tcW w:w="1425" w:type="dxa"/>
            <w:noWrap/>
          </w:tcPr>
          <w:p w14:paraId="61B7238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28A8DAF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3D0A96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371F390">
            <w:pPr>
              <w:spacing w:line="570" w:lineRule="exact"/>
              <w:ind w:firstLine="420" w:firstLineChars="200"/>
              <w:rPr>
                <w:rFonts w:ascii="方正仿宋简体" w:hAnsi="黑体" w:eastAsia="方正仿宋简体"/>
                <w:szCs w:val="21"/>
              </w:rPr>
            </w:pPr>
          </w:p>
        </w:tc>
        <w:tc>
          <w:tcPr>
            <w:tcW w:w="2715" w:type="dxa"/>
            <w:vMerge w:val="continue"/>
          </w:tcPr>
          <w:p w14:paraId="738596BF">
            <w:pPr>
              <w:spacing w:line="570" w:lineRule="exact"/>
              <w:ind w:firstLine="420" w:firstLineChars="200"/>
              <w:rPr>
                <w:rFonts w:ascii="方正仿宋简体" w:hAnsi="黑体" w:eastAsia="方正仿宋简体"/>
                <w:szCs w:val="21"/>
              </w:rPr>
            </w:pPr>
          </w:p>
        </w:tc>
        <w:tc>
          <w:tcPr>
            <w:tcW w:w="4245" w:type="dxa"/>
            <w:noWrap/>
          </w:tcPr>
          <w:p w14:paraId="270E0FB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绩效指标明确性</w:t>
            </w:r>
          </w:p>
        </w:tc>
        <w:tc>
          <w:tcPr>
            <w:tcW w:w="1425" w:type="dxa"/>
            <w:noWrap/>
          </w:tcPr>
          <w:p w14:paraId="5144D6A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0E1C977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32E98F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7C0E1100">
            <w:pPr>
              <w:spacing w:line="570" w:lineRule="exact"/>
              <w:ind w:firstLine="420" w:firstLineChars="200"/>
              <w:rPr>
                <w:rFonts w:ascii="方正仿宋简体" w:hAnsi="黑体" w:eastAsia="方正仿宋简体"/>
                <w:szCs w:val="21"/>
              </w:rPr>
            </w:pPr>
          </w:p>
        </w:tc>
        <w:tc>
          <w:tcPr>
            <w:tcW w:w="2715" w:type="dxa"/>
            <w:noWrap/>
          </w:tcPr>
          <w:p w14:paraId="29BAEAE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资金落实</w:t>
            </w:r>
          </w:p>
        </w:tc>
        <w:tc>
          <w:tcPr>
            <w:tcW w:w="4245" w:type="dxa"/>
            <w:noWrap/>
          </w:tcPr>
          <w:p w14:paraId="2EDC97E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资金到位率</w:t>
            </w:r>
          </w:p>
        </w:tc>
        <w:tc>
          <w:tcPr>
            <w:tcW w:w="1425" w:type="dxa"/>
            <w:noWrap/>
          </w:tcPr>
          <w:p w14:paraId="570F933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10分</w:t>
            </w:r>
          </w:p>
        </w:tc>
        <w:tc>
          <w:tcPr>
            <w:tcW w:w="1410" w:type="dxa"/>
            <w:noWrap/>
          </w:tcPr>
          <w:p w14:paraId="357E9D6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10</w:t>
            </w:r>
          </w:p>
        </w:tc>
      </w:tr>
      <w:tr w14:paraId="5A6A0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710D714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过程（25分)</w:t>
            </w:r>
          </w:p>
        </w:tc>
        <w:tc>
          <w:tcPr>
            <w:tcW w:w="2715" w:type="dxa"/>
            <w:vMerge w:val="restart"/>
            <w:noWrap/>
          </w:tcPr>
          <w:p w14:paraId="33D50EE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业务管理</w:t>
            </w:r>
          </w:p>
        </w:tc>
        <w:tc>
          <w:tcPr>
            <w:tcW w:w="4245" w:type="dxa"/>
            <w:noWrap/>
          </w:tcPr>
          <w:p w14:paraId="55D1D96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管理制度健全性</w:t>
            </w:r>
          </w:p>
        </w:tc>
        <w:tc>
          <w:tcPr>
            <w:tcW w:w="1425" w:type="dxa"/>
            <w:noWrap/>
          </w:tcPr>
          <w:p w14:paraId="7B412CD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3F6BD20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00CE24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1DF7DF72">
            <w:pPr>
              <w:spacing w:line="570" w:lineRule="exact"/>
              <w:ind w:firstLine="420" w:firstLineChars="200"/>
              <w:rPr>
                <w:rFonts w:ascii="方正仿宋简体" w:hAnsi="黑体" w:eastAsia="方正仿宋简体"/>
                <w:szCs w:val="21"/>
              </w:rPr>
            </w:pPr>
          </w:p>
        </w:tc>
        <w:tc>
          <w:tcPr>
            <w:tcW w:w="2715" w:type="dxa"/>
            <w:vMerge w:val="continue"/>
          </w:tcPr>
          <w:p w14:paraId="4E53D65B">
            <w:pPr>
              <w:spacing w:line="570" w:lineRule="exact"/>
              <w:ind w:firstLine="420" w:firstLineChars="200"/>
              <w:rPr>
                <w:rFonts w:ascii="方正仿宋简体" w:hAnsi="黑体" w:eastAsia="方正仿宋简体"/>
                <w:szCs w:val="21"/>
              </w:rPr>
            </w:pPr>
          </w:p>
        </w:tc>
        <w:tc>
          <w:tcPr>
            <w:tcW w:w="4245" w:type="dxa"/>
            <w:noWrap/>
          </w:tcPr>
          <w:p w14:paraId="2805A9C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管理制度执行情况</w:t>
            </w:r>
          </w:p>
        </w:tc>
        <w:tc>
          <w:tcPr>
            <w:tcW w:w="1425" w:type="dxa"/>
            <w:noWrap/>
          </w:tcPr>
          <w:p w14:paraId="63491A5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665446B0">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36ADC2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1EC15D98">
            <w:pPr>
              <w:spacing w:line="570" w:lineRule="exact"/>
              <w:ind w:firstLine="420" w:firstLineChars="200"/>
              <w:rPr>
                <w:rFonts w:ascii="方正仿宋简体" w:hAnsi="黑体" w:eastAsia="方正仿宋简体"/>
                <w:szCs w:val="21"/>
              </w:rPr>
            </w:pPr>
          </w:p>
        </w:tc>
        <w:tc>
          <w:tcPr>
            <w:tcW w:w="2715" w:type="dxa"/>
            <w:vMerge w:val="restart"/>
            <w:noWrap/>
          </w:tcPr>
          <w:p w14:paraId="5EB521D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财务管理</w:t>
            </w:r>
          </w:p>
        </w:tc>
        <w:tc>
          <w:tcPr>
            <w:tcW w:w="4245" w:type="dxa"/>
            <w:noWrap/>
          </w:tcPr>
          <w:p w14:paraId="00F1417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财务制度健全性</w:t>
            </w:r>
          </w:p>
        </w:tc>
        <w:tc>
          <w:tcPr>
            <w:tcW w:w="1425" w:type="dxa"/>
            <w:noWrap/>
          </w:tcPr>
          <w:p w14:paraId="6BD3539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29758D6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6217E1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6AF5E212">
            <w:pPr>
              <w:spacing w:line="570" w:lineRule="exact"/>
              <w:ind w:firstLine="420" w:firstLineChars="200"/>
              <w:rPr>
                <w:rFonts w:ascii="方正仿宋简体" w:hAnsi="黑体" w:eastAsia="方正仿宋简体"/>
                <w:szCs w:val="21"/>
              </w:rPr>
            </w:pPr>
          </w:p>
        </w:tc>
        <w:tc>
          <w:tcPr>
            <w:tcW w:w="2715" w:type="dxa"/>
            <w:vMerge w:val="continue"/>
          </w:tcPr>
          <w:p w14:paraId="3244C0B1">
            <w:pPr>
              <w:spacing w:line="570" w:lineRule="exact"/>
              <w:ind w:firstLine="420" w:firstLineChars="200"/>
              <w:rPr>
                <w:rFonts w:ascii="方正仿宋简体" w:hAnsi="黑体" w:eastAsia="方正仿宋简体"/>
                <w:szCs w:val="21"/>
              </w:rPr>
            </w:pPr>
          </w:p>
        </w:tc>
        <w:tc>
          <w:tcPr>
            <w:tcW w:w="4245" w:type="dxa"/>
            <w:noWrap/>
          </w:tcPr>
          <w:p w14:paraId="486EAAB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财务监管有效性</w:t>
            </w:r>
          </w:p>
        </w:tc>
        <w:tc>
          <w:tcPr>
            <w:tcW w:w="1425" w:type="dxa"/>
            <w:noWrap/>
          </w:tcPr>
          <w:p w14:paraId="6627148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3DFA5F4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342D8B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2A85F7C8">
            <w:pPr>
              <w:spacing w:line="570" w:lineRule="exact"/>
              <w:ind w:firstLine="420" w:firstLineChars="200"/>
              <w:rPr>
                <w:rFonts w:ascii="方正仿宋简体" w:hAnsi="黑体" w:eastAsia="方正仿宋简体"/>
                <w:szCs w:val="21"/>
              </w:rPr>
            </w:pPr>
          </w:p>
        </w:tc>
        <w:tc>
          <w:tcPr>
            <w:tcW w:w="2715" w:type="dxa"/>
            <w:vMerge w:val="continue"/>
          </w:tcPr>
          <w:p w14:paraId="2520B8EB">
            <w:pPr>
              <w:spacing w:line="570" w:lineRule="exact"/>
              <w:ind w:firstLine="420" w:firstLineChars="200"/>
              <w:rPr>
                <w:rFonts w:ascii="方正仿宋简体" w:hAnsi="黑体" w:eastAsia="方正仿宋简体"/>
                <w:szCs w:val="21"/>
              </w:rPr>
            </w:pPr>
          </w:p>
        </w:tc>
        <w:tc>
          <w:tcPr>
            <w:tcW w:w="4245" w:type="dxa"/>
            <w:noWrap/>
          </w:tcPr>
          <w:p w14:paraId="4AFFC3DE">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资金使用情况</w:t>
            </w:r>
          </w:p>
        </w:tc>
        <w:tc>
          <w:tcPr>
            <w:tcW w:w="1425" w:type="dxa"/>
            <w:noWrap/>
          </w:tcPr>
          <w:p w14:paraId="7BD2524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46261E7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w:t>
            </w:r>
          </w:p>
        </w:tc>
      </w:tr>
      <w:tr w14:paraId="60184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0E34EC0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产出（30分）</w:t>
            </w:r>
          </w:p>
        </w:tc>
        <w:tc>
          <w:tcPr>
            <w:tcW w:w="2715" w:type="dxa"/>
            <w:vMerge w:val="restart"/>
            <w:noWrap/>
          </w:tcPr>
          <w:p w14:paraId="247106F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数量指标</w:t>
            </w:r>
          </w:p>
        </w:tc>
        <w:tc>
          <w:tcPr>
            <w:tcW w:w="4245" w:type="dxa"/>
            <w:noWrap/>
          </w:tcPr>
          <w:p w14:paraId="00F1CB2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受益学生人数</w:t>
            </w:r>
          </w:p>
        </w:tc>
        <w:tc>
          <w:tcPr>
            <w:tcW w:w="1425" w:type="dxa"/>
            <w:noWrap/>
          </w:tcPr>
          <w:p w14:paraId="406D879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3分</w:t>
            </w:r>
          </w:p>
        </w:tc>
        <w:tc>
          <w:tcPr>
            <w:tcW w:w="1410" w:type="dxa"/>
            <w:noWrap/>
          </w:tcPr>
          <w:p w14:paraId="389FF4B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3</w:t>
            </w:r>
          </w:p>
        </w:tc>
      </w:tr>
      <w:tr w14:paraId="57BB89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73D23F6B">
            <w:pPr>
              <w:spacing w:line="570" w:lineRule="exact"/>
              <w:ind w:firstLine="420" w:firstLineChars="200"/>
              <w:rPr>
                <w:rFonts w:ascii="方正仿宋简体" w:hAnsi="黑体" w:eastAsia="方正仿宋简体"/>
                <w:szCs w:val="21"/>
              </w:rPr>
            </w:pPr>
          </w:p>
        </w:tc>
        <w:tc>
          <w:tcPr>
            <w:tcW w:w="2715" w:type="dxa"/>
            <w:vMerge w:val="continue"/>
          </w:tcPr>
          <w:p w14:paraId="5AF57FCA">
            <w:pPr>
              <w:spacing w:line="570" w:lineRule="exact"/>
              <w:ind w:firstLine="420" w:firstLineChars="200"/>
              <w:rPr>
                <w:rFonts w:ascii="方正仿宋简体" w:hAnsi="黑体" w:eastAsia="方正仿宋简体"/>
                <w:szCs w:val="21"/>
              </w:rPr>
            </w:pPr>
          </w:p>
        </w:tc>
        <w:tc>
          <w:tcPr>
            <w:tcW w:w="4245" w:type="dxa"/>
            <w:noWrap/>
          </w:tcPr>
          <w:p w14:paraId="2019B7A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校车数量</w:t>
            </w:r>
          </w:p>
        </w:tc>
        <w:tc>
          <w:tcPr>
            <w:tcW w:w="1425" w:type="dxa"/>
            <w:noWrap/>
          </w:tcPr>
          <w:p w14:paraId="29EAEA3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3分</w:t>
            </w:r>
          </w:p>
        </w:tc>
        <w:tc>
          <w:tcPr>
            <w:tcW w:w="1410" w:type="dxa"/>
            <w:noWrap/>
          </w:tcPr>
          <w:p w14:paraId="320EC49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3</w:t>
            </w:r>
          </w:p>
        </w:tc>
      </w:tr>
      <w:tr w14:paraId="64663E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1D63EC50">
            <w:pPr>
              <w:spacing w:line="570" w:lineRule="exact"/>
              <w:ind w:firstLine="420" w:firstLineChars="200"/>
              <w:rPr>
                <w:rFonts w:ascii="方正仿宋简体" w:hAnsi="黑体" w:eastAsia="方正仿宋简体"/>
                <w:szCs w:val="21"/>
              </w:rPr>
            </w:pPr>
          </w:p>
        </w:tc>
        <w:tc>
          <w:tcPr>
            <w:tcW w:w="2715" w:type="dxa"/>
            <w:vMerge w:val="restart"/>
            <w:noWrap/>
          </w:tcPr>
          <w:p w14:paraId="44DF96E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质量指标</w:t>
            </w:r>
          </w:p>
        </w:tc>
        <w:tc>
          <w:tcPr>
            <w:tcW w:w="4245" w:type="dxa"/>
            <w:noWrap/>
          </w:tcPr>
          <w:p w14:paraId="53359AE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校车质量标准达标率</w:t>
            </w:r>
          </w:p>
        </w:tc>
        <w:tc>
          <w:tcPr>
            <w:tcW w:w="1425" w:type="dxa"/>
            <w:noWrap/>
          </w:tcPr>
          <w:p w14:paraId="7D80AD2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480A075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363486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7E3A55FF">
            <w:pPr>
              <w:spacing w:line="570" w:lineRule="exact"/>
              <w:ind w:firstLine="420" w:firstLineChars="200"/>
              <w:rPr>
                <w:rFonts w:ascii="方正仿宋简体" w:hAnsi="黑体" w:eastAsia="方正仿宋简体"/>
                <w:szCs w:val="21"/>
              </w:rPr>
            </w:pPr>
          </w:p>
        </w:tc>
        <w:tc>
          <w:tcPr>
            <w:tcW w:w="2715" w:type="dxa"/>
            <w:vMerge w:val="continue"/>
          </w:tcPr>
          <w:p w14:paraId="607DAE65">
            <w:pPr>
              <w:spacing w:line="570" w:lineRule="exact"/>
              <w:ind w:firstLine="420" w:firstLineChars="200"/>
              <w:rPr>
                <w:rFonts w:ascii="方正仿宋简体" w:hAnsi="黑体" w:eastAsia="方正仿宋简体"/>
                <w:szCs w:val="21"/>
              </w:rPr>
            </w:pPr>
          </w:p>
        </w:tc>
        <w:tc>
          <w:tcPr>
            <w:tcW w:w="4245" w:type="dxa"/>
            <w:noWrap/>
          </w:tcPr>
          <w:p w14:paraId="5333D2E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校车安全标准达标率</w:t>
            </w:r>
          </w:p>
        </w:tc>
        <w:tc>
          <w:tcPr>
            <w:tcW w:w="1425" w:type="dxa"/>
            <w:noWrap/>
          </w:tcPr>
          <w:p w14:paraId="56F1B53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0EE606F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7D90C2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4B32A71D">
            <w:pPr>
              <w:spacing w:line="570" w:lineRule="exact"/>
              <w:ind w:firstLine="420" w:firstLineChars="200"/>
              <w:rPr>
                <w:rFonts w:ascii="方正仿宋简体" w:hAnsi="黑体" w:eastAsia="方正仿宋简体"/>
                <w:szCs w:val="21"/>
              </w:rPr>
            </w:pPr>
          </w:p>
        </w:tc>
        <w:tc>
          <w:tcPr>
            <w:tcW w:w="2715" w:type="dxa"/>
            <w:noWrap/>
          </w:tcPr>
          <w:p w14:paraId="32CCBB2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时效指标</w:t>
            </w:r>
          </w:p>
        </w:tc>
        <w:tc>
          <w:tcPr>
            <w:tcW w:w="4245" w:type="dxa"/>
            <w:noWrap/>
          </w:tcPr>
          <w:p w14:paraId="4018F8A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校车运行是否准时准点</w:t>
            </w:r>
          </w:p>
        </w:tc>
        <w:tc>
          <w:tcPr>
            <w:tcW w:w="1425" w:type="dxa"/>
            <w:noWrap/>
          </w:tcPr>
          <w:p w14:paraId="265240A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30A1A6D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138673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7956A7C2">
            <w:pPr>
              <w:spacing w:line="570" w:lineRule="exact"/>
              <w:ind w:firstLine="420" w:firstLineChars="200"/>
              <w:rPr>
                <w:rFonts w:ascii="方正仿宋简体" w:hAnsi="黑体" w:eastAsia="方正仿宋简体"/>
                <w:szCs w:val="21"/>
              </w:rPr>
            </w:pPr>
          </w:p>
        </w:tc>
        <w:tc>
          <w:tcPr>
            <w:tcW w:w="2715" w:type="dxa"/>
            <w:noWrap/>
          </w:tcPr>
          <w:p w14:paraId="4F3E752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成本指标</w:t>
            </w:r>
          </w:p>
        </w:tc>
        <w:tc>
          <w:tcPr>
            <w:tcW w:w="4245" w:type="dxa"/>
            <w:noWrap/>
          </w:tcPr>
          <w:p w14:paraId="1B87C59B">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车辆成本控制</w:t>
            </w:r>
          </w:p>
        </w:tc>
        <w:tc>
          <w:tcPr>
            <w:tcW w:w="1425" w:type="dxa"/>
            <w:noWrap/>
          </w:tcPr>
          <w:p w14:paraId="283EE42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6分</w:t>
            </w:r>
          </w:p>
        </w:tc>
        <w:tc>
          <w:tcPr>
            <w:tcW w:w="1410" w:type="dxa"/>
            <w:noWrap/>
          </w:tcPr>
          <w:p w14:paraId="6989D346">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6</w:t>
            </w:r>
          </w:p>
        </w:tc>
      </w:tr>
      <w:tr w14:paraId="22FDF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restart"/>
            <w:noWrap/>
          </w:tcPr>
          <w:p w14:paraId="131FDE5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效益（20分）</w:t>
            </w:r>
          </w:p>
        </w:tc>
        <w:tc>
          <w:tcPr>
            <w:tcW w:w="2715" w:type="dxa"/>
            <w:vMerge w:val="restart"/>
            <w:noWrap/>
          </w:tcPr>
          <w:p w14:paraId="54D5452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社会效益指标</w:t>
            </w:r>
          </w:p>
        </w:tc>
        <w:tc>
          <w:tcPr>
            <w:tcW w:w="4245" w:type="dxa"/>
            <w:noWrap/>
          </w:tcPr>
          <w:p w14:paraId="7AC4A1F0">
            <w:pPr>
              <w:spacing w:line="570" w:lineRule="exact"/>
              <w:ind w:firstLine="420" w:firstLineChars="200"/>
              <w:rPr>
                <w:rFonts w:ascii="方正仿宋简体" w:hAnsi="黑体" w:eastAsia="方正仿宋简体"/>
                <w:szCs w:val="21"/>
              </w:rPr>
            </w:pPr>
            <w:r>
              <w:rPr>
                <w:rFonts w:ascii="方正仿宋简体" w:hAnsi="黑体" w:eastAsia="方正仿宋简体"/>
                <w:szCs w:val="21"/>
              </w:rPr>
              <w:t>学生出行便利得到提升</w:t>
            </w:r>
          </w:p>
        </w:tc>
        <w:tc>
          <w:tcPr>
            <w:tcW w:w="1425" w:type="dxa"/>
            <w:noWrap/>
          </w:tcPr>
          <w:p w14:paraId="748F7CA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419B9535">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3</w:t>
            </w:r>
          </w:p>
        </w:tc>
      </w:tr>
      <w:tr w14:paraId="737157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0642E555">
            <w:pPr>
              <w:spacing w:line="570" w:lineRule="exact"/>
              <w:ind w:firstLine="420" w:firstLineChars="200"/>
              <w:rPr>
                <w:rFonts w:ascii="方正仿宋简体" w:hAnsi="黑体" w:eastAsia="方正仿宋简体"/>
                <w:szCs w:val="21"/>
              </w:rPr>
            </w:pPr>
          </w:p>
        </w:tc>
        <w:tc>
          <w:tcPr>
            <w:tcW w:w="2715" w:type="dxa"/>
            <w:vMerge w:val="continue"/>
          </w:tcPr>
          <w:p w14:paraId="32D2717E">
            <w:pPr>
              <w:spacing w:line="570" w:lineRule="exact"/>
              <w:ind w:firstLine="420" w:firstLineChars="200"/>
              <w:rPr>
                <w:rFonts w:ascii="方正仿宋简体" w:hAnsi="黑体" w:eastAsia="方正仿宋简体"/>
                <w:szCs w:val="21"/>
              </w:rPr>
            </w:pPr>
          </w:p>
        </w:tc>
        <w:tc>
          <w:tcPr>
            <w:tcW w:w="4245" w:type="dxa"/>
            <w:noWrap/>
          </w:tcPr>
          <w:p w14:paraId="5772B318">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学生安全得到保障</w:t>
            </w:r>
          </w:p>
        </w:tc>
        <w:tc>
          <w:tcPr>
            <w:tcW w:w="1425" w:type="dxa"/>
            <w:noWrap/>
          </w:tcPr>
          <w:p w14:paraId="573A382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6714142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w:t>
            </w:r>
          </w:p>
        </w:tc>
      </w:tr>
      <w:tr w14:paraId="1541D4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39E56CB6">
            <w:pPr>
              <w:spacing w:line="570" w:lineRule="exact"/>
              <w:ind w:firstLine="420" w:firstLineChars="200"/>
              <w:rPr>
                <w:rFonts w:ascii="方正仿宋简体" w:hAnsi="黑体" w:eastAsia="方正仿宋简体"/>
                <w:szCs w:val="21"/>
              </w:rPr>
            </w:pPr>
          </w:p>
        </w:tc>
        <w:tc>
          <w:tcPr>
            <w:tcW w:w="2715" w:type="dxa"/>
            <w:noWrap/>
          </w:tcPr>
          <w:p w14:paraId="2B2422D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满意度指标</w:t>
            </w:r>
          </w:p>
        </w:tc>
        <w:tc>
          <w:tcPr>
            <w:tcW w:w="4245" w:type="dxa"/>
            <w:noWrap/>
          </w:tcPr>
          <w:p w14:paraId="4783637A">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学生及家长满意度</w:t>
            </w:r>
          </w:p>
        </w:tc>
        <w:tc>
          <w:tcPr>
            <w:tcW w:w="1425" w:type="dxa"/>
            <w:noWrap/>
          </w:tcPr>
          <w:p w14:paraId="485101A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61CE422D">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w:t>
            </w:r>
          </w:p>
        </w:tc>
      </w:tr>
      <w:tr w14:paraId="7674CE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vMerge w:val="continue"/>
          </w:tcPr>
          <w:p w14:paraId="1BDF8D5C">
            <w:pPr>
              <w:spacing w:line="570" w:lineRule="exact"/>
              <w:ind w:firstLine="420" w:firstLineChars="200"/>
              <w:rPr>
                <w:rFonts w:ascii="方正仿宋简体" w:hAnsi="黑体" w:eastAsia="方正仿宋简体"/>
                <w:szCs w:val="21"/>
              </w:rPr>
            </w:pPr>
          </w:p>
        </w:tc>
        <w:tc>
          <w:tcPr>
            <w:tcW w:w="2715" w:type="dxa"/>
            <w:noWrap/>
          </w:tcPr>
          <w:p w14:paraId="1AA87901">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生态效益指标</w:t>
            </w:r>
          </w:p>
        </w:tc>
        <w:tc>
          <w:tcPr>
            <w:tcW w:w="4245" w:type="dxa"/>
            <w:noWrap/>
          </w:tcPr>
          <w:p w14:paraId="2085AB79">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减少私家车尾气排放</w:t>
            </w:r>
          </w:p>
        </w:tc>
        <w:tc>
          <w:tcPr>
            <w:tcW w:w="1425" w:type="dxa"/>
            <w:noWrap/>
          </w:tcPr>
          <w:p w14:paraId="7B3A23DE">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5分</w:t>
            </w:r>
          </w:p>
        </w:tc>
        <w:tc>
          <w:tcPr>
            <w:tcW w:w="1410" w:type="dxa"/>
            <w:noWrap/>
          </w:tcPr>
          <w:p w14:paraId="3D50BA73">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4</w:t>
            </w:r>
          </w:p>
        </w:tc>
      </w:tr>
      <w:tr w14:paraId="145D79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2460" w:type="dxa"/>
            <w:noWrap/>
          </w:tcPr>
          <w:p w14:paraId="4427D392">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总分</w:t>
            </w:r>
          </w:p>
        </w:tc>
        <w:tc>
          <w:tcPr>
            <w:tcW w:w="2715" w:type="dxa"/>
            <w:noWrap/>
          </w:tcPr>
          <w:p w14:paraId="642F3F34">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93</w:t>
            </w:r>
          </w:p>
        </w:tc>
        <w:tc>
          <w:tcPr>
            <w:tcW w:w="4245" w:type="dxa"/>
            <w:noWrap/>
          </w:tcPr>
          <w:p w14:paraId="3FE20FDC">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评价等次</w:t>
            </w:r>
          </w:p>
        </w:tc>
        <w:tc>
          <w:tcPr>
            <w:tcW w:w="2835" w:type="dxa"/>
            <w:gridSpan w:val="2"/>
            <w:noWrap/>
          </w:tcPr>
          <w:p w14:paraId="5B5E213F">
            <w:pPr>
              <w:spacing w:line="570" w:lineRule="exact"/>
              <w:ind w:firstLine="420" w:firstLineChars="200"/>
              <w:rPr>
                <w:rFonts w:ascii="方正仿宋简体" w:hAnsi="黑体" w:eastAsia="方正仿宋简体"/>
                <w:szCs w:val="21"/>
              </w:rPr>
            </w:pPr>
            <w:r>
              <w:rPr>
                <w:rFonts w:hint="eastAsia" w:ascii="方正仿宋简体" w:hAnsi="黑体" w:eastAsia="方正仿宋简体"/>
                <w:szCs w:val="21"/>
              </w:rPr>
              <w:t>优</w:t>
            </w:r>
          </w:p>
        </w:tc>
      </w:tr>
    </w:tbl>
    <w:p w14:paraId="60414039">
      <w:pPr>
        <w:spacing w:line="570" w:lineRule="exact"/>
        <w:ind w:firstLine="640" w:firstLineChars="200"/>
        <w:rPr>
          <w:rFonts w:ascii="黑体" w:hAnsi="黑体" w:eastAsia="黑体"/>
          <w:sz w:val="32"/>
          <w:szCs w:val="32"/>
        </w:rPr>
      </w:pPr>
    </w:p>
    <w:p w14:paraId="47643854">
      <w:pPr>
        <w:spacing w:line="570" w:lineRule="exact"/>
        <w:ind w:firstLine="640" w:firstLineChars="200"/>
        <w:rPr>
          <w:rFonts w:ascii="方正仿宋简体" w:hAnsi="宋体" w:eastAsia="方正仿宋简体" w:cs="方正仿宋简体"/>
          <w:sz w:val="32"/>
          <w:szCs w:val="32"/>
        </w:rPr>
      </w:pPr>
    </w:p>
    <w:p w14:paraId="3A4E92D7">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根据财政绩效评价指标体系及评分标准，通过分析，对芦台经济开发区教育局2021年度购买校车服务专项资金绩效进行客观评价，最终评分结果：总分为</w:t>
      </w:r>
      <w:r>
        <w:rPr>
          <w:rFonts w:hint="eastAsia" w:ascii="方正仿宋简体" w:hAnsi="仿宋" w:eastAsia="方正仿宋简体"/>
          <w:color w:val="000000" w:themeColor="text1"/>
          <w:sz w:val="32"/>
          <w:szCs w:val="32"/>
        </w:rPr>
        <w:t>93</w:t>
      </w:r>
      <w:r>
        <w:rPr>
          <w:rFonts w:hint="eastAsia" w:ascii="方正仿宋简体" w:hAnsi="仿宋" w:eastAsia="方正仿宋简体"/>
          <w:sz w:val="32"/>
          <w:szCs w:val="32"/>
        </w:rPr>
        <w:t>分，绩效评级为“</w:t>
      </w:r>
      <w:r>
        <w:rPr>
          <w:rFonts w:hint="eastAsia" w:ascii="方正仿宋简体" w:hAnsi="仿宋" w:eastAsia="方正仿宋简体"/>
          <w:color w:val="000000" w:themeColor="text1"/>
          <w:sz w:val="32"/>
          <w:szCs w:val="32"/>
        </w:rPr>
        <w:t>优</w:t>
      </w:r>
      <w:r>
        <w:rPr>
          <w:rFonts w:hint="eastAsia" w:ascii="方正仿宋简体" w:hAnsi="仿宋" w:eastAsia="方正仿宋简体"/>
          <w:sz w:val="32"/>
          <w:szCs w:val="32"/>
        </w:rPr>
        <w:t>”。</w:t>
      </w:r>
    </w:p>
    <w:p w14:paraId="752EC4CA">
      <w:pPr>
        <w:spacing w:line="57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本次绩效评价的评价指标体系，</w:t>
      </w:r>
      <w:r>
        <w:rPr>
          <w:rFonts w:ascii="方正仿宋简体" w:hAnsi="仿宋" w:eastAsia="方正仿宋简体"/>
          <w:sz w:val="32"/>
          <w:szCs w:val="32"/>
        </w:rPr>
        <w:t>唐山市财政局《唐山市项目支出绩效评价管理办法》</w:t>
      </w:r>
      <w:r>
        <w:rPr>
          <w:rFonts w:ascii="方正仿宋简体" w:hAnsi="仿宋" w:eastAsia="方正仿宋简体"/>
          <w:bCs/>
          <w:sz w:val="32"/>
          <w:szCs w:val="32"/>
        </w:rPr>
        <w:t>（</w:t>
      </w:r>
      <w:r>
        <w:rPr>
          <w:rFonts w:ascii="方正仿宋简体" w:hAnsi="仿宋" w:eastAsia="方正仿宋简体"/>
          <w:sz w:val="32"/>
          <w:szCs w:val="32"/>
        </w:rPr>
        <w:t>唐财绩〔2020〕3号</w:t>
      </w:r>
      <w:r>
        <w:rPr>
          <w:rFonts w:ascii="方正仿宋简体" w:hAnsi="仿宋" w:eastAsia="方正仿宋简体"/>
          <w:bCs/>
          <w:sz w:val="32"/>
          <w:szCs w:val="32"/>
        </w:rPr>
        <w:t>）</w:t>
      </w:r>
      <w:r>
        <w:rPr>
          <w:rFonts w:ascii="方正仿宋简体" w:hAnsi="仿宋" w:eastAsia="方正仿宋简体"/>
          <w:sz w:val="32"/>
          <w:szCs w:val="32"/>
        </w:rPr>
        <w:t>、《唐山市项目支出绩效重点评价管理办法</w:t>
      </w:r>
      <w:r>
        <w:rPr>
          <w:rFonts w:ascii="方正仿宋简体" w:hAnsi="仿宋" w:eastAsia="方正仿宋简体"/>
          <w:bCs/>
          <w:sz w:val="32"/>
          <w:szCs w:val="32"/>
        </w:rPr>
        <w:t>》（</w:t>
      </w:r>
      <w:r>
        <w:rPr>
          <w:rFonts w:ascii="方正仿宋简体" w:hAnsi="仿宋" w:eastAsia="方正仿宋简体"/>
          <w:sz w:val="32"/>
          <w:szCs w:val="32"/>
        </w:rPr>
        <w:t>唐财绩〔2020〕5号</w:t>
      </w:r>
      <w:r>
        <w:rPr>
          <w:rFonts w:ascii="方正仿宋简体" w:hAnsi="仿宋" w:eastAsia="方正仿宋简体"/>
          <w:bCs/>
          <w:sz w:val="32"/>
          <w:szCs w:val="32"/>
        </w:rPr>
        <w:t>）</w:t>
      </w:r>
      <w:r>
        <w:rPr>
          <w:rFonts w:hint="eastAsia" w:ascii="方正仿宋简体" w:hAnsi="仿宋" w:eastAsia="方正仿宋简体"/>
          <w:sz w:val="32"/>
          <w:szCs w:val="32"/>
        </w:rPr>
        <w:t>的基础上，根据项目的个性特征，制定了</w:t>
      </w:r>
      <w:r>
        <w:rPr>
          <w:rFonts w:ascii="方正仿宋简体" w:hAnsi="仿宋" w:eastAsia="方正仿宋简体"/>
          <w:sz w:val="32"/>
          <w:szCs w:val="32"/>
        </w:rPr>
        <w:t>2020</w:t>
      </w:r>
      <w:r>
        <w:rPr>
          <w:rFonts w:hint="eastAsia" w:ascii="方正仿宋简体" w:hAnsi="仿宋" w:eastAsia="方正仿宋简体"/>
          <w:sz w:val="32"/>
          <w:szCs w:val="32"/>
        </w:rPr>
        <w:t>年度公交公司新能源补助专项资金项目的《绩效评价评分表》。采用定量和定性相结合的方法。评分结果为优、良、中、差四个等级。分值介于</w:t>
      </w:r>
      <w:r>
        <w:rPr>
          <w:rFonts w:ascii="方正仿宋简体" w:hAnsi="仿宋" w:eastAsia="方正仿宋简体"/>
          <w:sz w:val="32"/>
          <w:szCs w:val="32"/>
        </w:rPr>
        <w:t>90</w:t>
      </w:r>
      <w:r>
        <w:rPr>
          <w:rFonts w:hint="eastAsia" w:ascii="方正仿宋简体" w:hAnsi="仿宋" w:eastAsia="方正仿宋简体"/>
          <w:sz w:val="32"/>
          <w:szCs w:val="32"/>
        </w:rPr>
        <w:t>（含</w:t>
      </w:r>
      <w:r>
        <w:rPr>
          <w:rFonts w:ascii="方正仿宋简体" w:hAnsi="仿宋" w:eastAsia="方正仿宋简体"/>
          <w:sz w:val="32"/>
          <w:szCs w:val="32"/>
        </w:rPr>
        <w:t>90</w:t>
      </w:r>
      <w:r>
        <w:rPr>
          <w:rFonts w:hint="eastAsia" w:ascii="方正仿宋简体" w:hAnsi="仿宋" w:eastAsia="方正仿宋简体"/>
          <w:sz w:val="32"/>
          <w:szCs w:val="32"/>
        </w:rPr>
        <w:t>分）和</w:t>
      </w:r>
      <w:r>
        <w:rPr>
          <w:rFonts w:ascii="方正仿宋简体" w:hAnsi="仿宋" w:eastAsia="方正仿宋简体"/>
          <w:sz w:val="32"/>
          <w:szCs w:val="32"/>
        </w:rPr>
        <w:t>100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优</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80</w:t>
      </w:r>
      <w:r>
        <w:rPr>
          <w:rFonts w:hint="eastAsia" w:ascii="方正仿宋简体" w:hAnsi="仿宋" w:eastAsia="方正仿宋简体"/>
          <w:sz w:val="32"/>
          <w:szCs w:val="32"/>
        </w:rPr>
        <w:t>（含</w:t>
      </w:r>
      <w:r>
        <w:rPr>
          <w:rFonts w:ascii="方正仿宋简体" w:hAnsi="仿宋" w:eastAsia="方正仿宋简体"/>
          <w:sz w:val="32"/>
          <w:szCs w:val="32"/>
        </w:rPr>
        <w:t>80</w:t>
      </w:r>
      <w:r>
        <w:rPr>
          <w:rFonts w:hint="eastAsia" w:ascii="方正仿宋简体" w:hAnsi="仿宋" w:eastAsia="方正仿宋简体"/>
          <w:sz w:val="32"/>
          <w:szCs w:val="32"/>
        </w:rPr>
        <w:t>分）和</w:t>
      </w:r>
      <w:r>
        <w:rPr>
          <w:rFonts w:ascii="方正仿宋简体" w:hAnsi="仿宋" w:eastAsia="方正仿宋简体"/>
          <w:sz w:val="32"/>
          <w:szCs w:val="32"/>
        </w:rPr>
        <w:t>90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良</w:t>
      </w:r>
      <w:r>
        <w:rPr>
          <w:rFonts w:ascii="方正仿宋简体" w:hAnsi="仿宋" w:eastAsia="方正仿宋简体"/>
          <w:sz w:val="32"/>
          <w:szCs w:val="32"/>
        </w:rPr>
        <w:t>”</w:t>
      </w:r>
      <w:r>
        <w:rPr>
          <w:rFonts w:hint="eastAsia" w:ascii="方正仿宋简体" w:hAnsi="仿宋" w:eastAsia="方正仿宋简体"/>
          <w:sz w:val="32"/>
          <w:szCs w:val="32"/>
        </w:rPr>
        <w:t>，分值介于</w:t>
      </w:r>
      <w:r>
        <w:rPr>
          <w:rFonts w:ascii="方正仿宋简体" w:hAnsi="仿宋" w:eastAsia="方正仿宋简体"/>
          <w:sz w:val="32"/>
          <w:szCs w:val="32"/>
        </w:rPr>
        <w:t>60</w:t>
      </w:r>
      <w:r>
        <w:rPr>
          <w:rFonts w:hint="eastAsia" w:ascii="方正仿宋简体" w:hAnsi="仿宋" w:eastAsia="方正仿宋简体"/>
          <w:sz w:val="32"/>
          <w:szCs w:val="32"/>
        </w:rPr>
        <w:t>（含</w:t>
      </w:r>
      <w:r>
        <w:rPr>
          <w:rFonts w:ascii="方正仿宋简体" w:hAnsi="仿宋" w:eastAsia="方正仿宋简体"/>
          <w:sz w:val="32"/>
          <w:szCs w:val="32"/>
        </w:rPr>
        <w:t>60</w:t>
      </w:r>
      <w:r>
        <w:rPr>
          <w:rFonts w:hint="eastAsia" w:ascii="方正仿宋简体" w:hAnsi="仿宋" w:eastAsia="方正仿宋简体"/>
          <w:sz w:val="32"/>
          <w:szCs w:val="32"/>
        </w:rPr>
        <w:t>分）和</w:t>
      </w:r>
      <w:r>
        <w:rPr>
          <w:rFonts w:ascii="方正仿宋简体" w:hAnsi="仿宋" w:eastAsia="方正仿宋简体"/>
          <w:sz w:val="32"/>
          <w:szCs w:val="32"/>
        </w:rPr>
        <w:t>80</w:t>
      </w:r>
      <w:r>
        <w:rPr>
          <w:rFonts w:hint="eastAsia" w:ascii="方正仿宋简体" w:hAnsi="仿宋" w:eastAsia="方正仿宋简体"/>
          <w:sz w:val="32"/>
          <w:szCs w:val="32"/>
        </w:rPr>
        <w:t>分之间为</w:t>
      </w:r>
      <w:r>
        <w:rPr>
          <w:rFonts w:ascii="方正仿宋简体" w:hAnsi="仿宋" w:eastAsia="方正仿宋简体"/>
          <w:sz w:val="32"/>
          <w:szCs w:val="32"/>
        </w:rPr>
        <w:t>“</w:t>
      </w:r>
      <w:r>
        <w:rPr>
          <w:rFonts w:hint="eastAsia" w:ascii="方正仿宋简体" w:hAnsi="仿宋" w:eastAsia="方正仿宋简体"/>
          <w:sz w:val="32"/>
          <w:szCs w:val="32"/>
        </w:rPr>
        <w:t>中</w:t>
      </w:r>
      <w:r>
        <w:rPr>
          <w:rFonts w:ascii="方正仿宋简体" w:hAnsi="仿宋" w:eastAsia="方正仿宋简体"/>
          <w:sz w:val="32"/>
          <w:szCs w:val="32"/>
        </w:rPr>
        <w:t>”</w:t>
      </w:r>
      <w:r>
        <w:rPr>
          <w:rFonts w:hint="eastAsia" w:ascii="方正仿宋简体" w:hAnsi="仿宋" w:eastAsia="方正仿宋简体"/>
          <w:sz w:val="32"/>
          <w:szCs w:val="32"/>
        </w:rPr>
        <w:t>，低于</w:t>
      </w:r>
      <w:r>
        <w:rPr>
          <w:rFonts w:ascii="方正仿宋简体" w:hAnsi="仿宋" w:eastAsia="方正仿宋简体"/>
          <w:sz w:val="32"/>
          <w:szCs w:val="32"/>
        </w:rPr>
        <w:t>60</w:t>
      </w:r>
      <w:r>
        <w:rPr>
          <w:rFonts w:hint="eastAsia" w:ascii="方正仿宋简体" w:hAnsi="仿宋" w:eastAsia="方正仿宋简体"/>
          <w:sz w:val="32"/>
          <w:szCs w:val="32"/>
        </w:rPr>
        <w:t>分为</w:t>
      </w:r>
      <w:r>
        <w:rPr>
          <w:rFonts w:ascii="方正仿宋简体" w:hAnsi="仿宋" w:eastAsia="方正仿宋简体"/>
          <w:sz w:val="32"/>
          <w:szCs w:val="32"/>
        </w:rPr>
        <w:t>“</w:t>
      </w:r>
      <w:r>
        <w:rPr>
          <w:rFonts w:hint="eastAsia" w:ascii="方正仿宋简体" w:hAnsi="仿宋" w:eastAsia="方正仿宋简体"/>
          <w:sz w:val="32"/>
          <w:szCs w:val="32"/>
        </w:rPr>
        <w:t>差</w:t>
      </w:r>
      <w:r>
        <w:rPr>
          <w:rFonts w:ascii="方正仿宋简体" w:hAnsi="仿宋" w:eastAsia="方正仿宋简体"/>
          <w:sz w:val="32"/>
          <w:szCs w:val="32"/>
        </w:rPr>
        <w:t>”</w:t>
      </w:r>
      <w:r>
        <w:rPr>
          <w:rFonts w:hint="eastAsia" w:ascii="方正仿宋简体" w:hAnsi="仿宋" w:eastAsia="方正仿宋简体"/>
          <w:sz w:val="32"/>
          <w:szCs w:val="32"/>
        </w:rPr>
        <w:t>。</w:t>
      </w:r>
    </w:p>
    <w:p w14:paraId="29D77060">
      <w:pPr>
        <w:spacing w:line="5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五、存在的问题及建议</w:t>
      </w:r>
    </w:p>
    <w:p w14:paraId="57EE5DF8">
      <w:pPr>
        <w:spacing w:line="570" w:lineRule="exact"/>
        <w:ind w:firstLine="640" w:firstLineChars="200"/>
        <w:rPr>
          <w:rFonts w:ascii="方正仿宋简体" w:hAnsi="黑体" w:eastAsia="方正仿宋简体"/>
          <w:color w:val="000000" w:themeColor="text1"/>
          <w:sz w:val="32"/>
          <w:szCs w:val="32"/>
        </w:rPr>
      </w:pPr>
      <w:r>
        <w:rPr>
          <w:rFonts w:hint="eastAsia" w:ascii="方正仿宋简体" w:hAnsi="黑体" w:eastAsia="方正仿宋简体"/>
          <w:color w:val="000000" w:themeColor="text1"/>
          <w:sz w:val="32"/>
          <w:szCs w:val="32"/>
        </w:rPr>
        <w:t>存在的问题：</w:t>
      </w:r>
    </w:p>
    <w:p w14:paraId="07039351">
      <w:pPr>
        <w:spacing w:line="570" w:lineRule="exact"/>
        <w:ind w:firstLine="640" w:firstLineChars="200"/>
        <w:rPr>
          <w:rFonts w:ascii="宋体" w:hAnsi="宋体" w:eastAsia="方正仿宋简体" w:cs="宋体"/>
          <w:kern w:val="0"/>
          <w:sz w:val="32"/>
          <w:szCs w:val="32"/>
        </w:rPr>
      </w:pPr>
      <w:r>
        <w:rPr>
          <w:rFonts w:hint="eastAsia" w:ascii="宋体" w:hAnsi="宋体" w:eastAsia="方正仿宋简体" w:cs="宋体"/>
          <w:kern w:val="0"/>
          <w:sz w:val="32"/>
          <w:szCs w:val="32"/>
        </w:rPr>
        <w:t>1.年初预算精准度不够，造成资金结余过多。</w:t>
      </w:r>
    </w:p>
    <w:p w14:paraId="04110E21">
      <w:pPr>
        <w:widowControl/>
        <w:shd w:val="clear" w:color="auto" w:fill="FFFFFF"/>
        <w:spacing w:line="480" w:lineRule="auto"/>
        <w:ind w:firstLine="640" w:firstLineChars="200"/>
        <w:textAlignment w:val="center"/>
        <w:rPr>
          <w:rFonts w:ascii="宋体" w:hAnsi="宋体" w:eastAsia="方正仿宋简体" w:cs="宋体"/>
          <w:kern w:val="0"/>
          <w:sz w:val="32"/>
          <w:szCs w:val="32"/>
        </w:rPr>
      </w:pPr>
      <w:r>
        <w:rPr>
          <w:rFonts w:hint="eastAsia" w:ascii="宋体" w:hAnsi="宋体" w:eastAsia="方正仿宋简体" w:cs="宋体"/>
          <w:kern w:val="0"/>
          <w:sz w:val="32"/>
          <w:szCs w:val="32"/>
        </w:rPr>
        <w:t>2.进一步完善制度流程，细化预算绩效管理规定，加强监督检查机制建设，自觉接受社会各界监督。</w:t>
      </w:r>
    </w:p>
    <w:p w14:paraId="0001E578">
      <w:pPr>
        <w:spacing w:line="570" w:lineRule="exact"/>
        <w:ind w:firstLine="640" w:firstLineChars="20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建议：</w:t>
      </w:r>
    </w:p>
    <w:p w14:paraId="0992ACEB">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1.财政部门会同教育部门结合上年度结合实际情况作出合理化预算分配，提高财政资金使用效益。</w:t>
      </w:r>
    </w:p>
    <w:p w14:paraId="7F2D9D7A">
      <w:pPr>
        <w:spacing w:line="570" w:lineRule="exact"/>
        <w:ind w:firstLine="640"/>
        <w:rPr>
          <w:rFonts w:ascii="方正仿宋简体" w:hAnsi="仿宋" w:eastAsia="方正仿宋简体"/>
          <w:color w:val="000000" w:themeColor="text1"/>
          <w:sz w:val="32"/>
          <w:szCs w:val="32"/>
        </w:rPr>
      </w:pPr>
      <w:r>
        <w:rPr>
          <w:rFonts w:hint="eastAsia" w:ascii="方正仿宋简体" w:hAnsi="仿宋" w:eastAsia="方正仿宋简体"/>
          <w:color w:val="000000" w:themeColor="text1"/>
          <w:sz w:val="32"/>
          <w:szCs w:val="32"/>
        </w:rPr>
        <w:t>2.建议教育局根据项目设立背景、项目执行计划科学合理设立项目绩效目标。</w:t>
      </w:r>
    </w:p>
    <w:p w14:paraId="6DE67CEC">
      <w:pPr>
        <w:rPr>
          <w:rFonts w:ascii="方正仿宋简体" w:eastAsia="方正仿宋简体"/>
          <w:sz w:val="32"/>
          <w:szCs w:val="32"/>
        </w:rPr>
      </w:pPr>
      <w:r>
        <w:rPr>
          <w:rFonts w:hint="eastAsia" w:ascii="方正仿宋简体" w:eastAsia="方正仿宋简体"/>
          <w:sz w:val="32"/>
          <w:szCs w:val="32"/>
        </w:rPr>
        <w:t xml:space="preserve">    </w:t>
      </w:r>
    </w:p>
    <w:p w14:paraId="5DACED4C">
      <w:pPr>
        <w:spacing w:line="570" w:lineRule="exact"/>
        <w:ind w:firstLine="640" w:firstLineChars="200"/>
        <w:rPr>
          <w:rFonts w:ascii="黑体" w:hAnsi="黑体" w:eastAsia="黑体"/>
          <w:sz w:val="32"/>
          <w:szCs w:val="32"/>
        </w:rPr>
      </w:pPr>
      <w:r>
        <w:rPr>
          <w:rFonts w:hint="eastAsia" w:ascii="黑体" w:hAnsi="黑体" w:eastAsia="黑体"/>
          <w:sz w:val="32"/>
          <w:szCs w:val="32"/>
        </w:rPr>
        <w:t>六、绩效评价结果应用</w:t>
      </w:r>
    </w:p>
    <w:p w14:paraId="04FF731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通过本次绩效评价工作，评价工作组认为芦台经济开发区教育局需在绩效目标设置、项目定期追踪督导和专项资金管理方面进一步完善。</w:t>
      </w:r>
    </w:p>
    <w:p w14:paraId="3DB12925">
      <w:pPr>
        <w:spacing w:line="570" w:lineRule="exact"/>
        <w:ind w:firstLine="640" w:firstLineChars="200"/>
        <w:rPr>
          <w:rFonts w:ascii="方正仿宋简体" w:hAnsi="宋体" w:eastAsia="方正仿宋简体" w:cs="方正仿宋简体"/>
          <w:sz w:val="32"/>
          <w:szCs w:val="32"/>
        </w:rPr>
      </w:pPr>
      <w:r>
        <w:rPr>
          <w:rFonts w:hint="eastAsia" w:ascii="方正仿宋简体" w:hAnsi="宋体" w:eastAsia="方正仿宋简体" w:cs="方正仿宋简体"/>
          <w:sz w:val="32"/>
          <w:szCs w:val="32"/>
        </w:rPr>
        <w:t>芦台经济开发区财政局将在一定范围内公开本次评价工作结果，增强主管单位、项目实施单位以及社会各界对绩效评价工作的认识，自主接受社会公众对专项项目实施的监督。</w:t>
      </w:r>
    </w:p>
    <w:p w14:paraId="578CCD56">
      <w:pPr>
        <w:spacing w:line="570" w:lineRule="exact"/>
        <w:ind w:firstLine="640" w:firstLineChars="200"/>
        <w:rPr>
          <w:rFonts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财政</w:t>
      </w:r>
      <w:r>
        <w:rPr>
          <w:rFonts w:ascii="宋体" w:hAnsi="宋体" w:eastAsia="方正仿宋简体" w:cs="方正仿宋简体"/>
          <w:color w:val="000000"/>
          <w:sz w:val="32"/>
          <w:szCs w:val="32"/>
        </w:rPr>
        <w:t>绩效</w:t>
      </w:r>
      <w:r>
        <w:rPr>
          <w:rFonts w:hint="eastAsia" w:ascii="宋体" w:hAnsi="宋体" w:eastAsia="方正仿宋简体" w:cs="方正仿宋简体"/>
          <w:color w:val="000000"/>
          <w:sz w:val="32"/>
          <w:szCs w:val="32"/>
        </w:rPr>
        <w:t>评价结果作为财政部门每年安排部门预算资金的重要依据，与以后年度预算编制直接挂钩，加强项目资金使用效益，本次评价结果为优，建议继续保持。</w:t>
      </w:r>
    </w:p>
    <w:p w14:paraId="06724E3C">
      <w:pPr>
        <w:spacing w:line="570" w:lineRule="exact"/>
        <w:ind w:firstLine="640" w:firstLineChars="200"/>
        <w:rPr>
          <w:rFonts w:ascii="方正仿宋简体" w:hAnsi="宋体" w:eastAsia="方正仿宋简体" w:cs="方正仿宋简体"/>
          <w:sz w:val="32"/>
          <w:szCs w:val="32"/>
        </w:rPr>
      </w:pPr>
    </w:p>
    <w:p w14:paraId="17417CBE"/>
    <w:p w14:paraId="6E580C31"/>
    <w:p w14:paraId="107DD88F"/>
    <w:p w14:paraId="3B6BEA2B">
      <w:r>
        <w:rPr>
          <w:rFonts w:ascii="宋体" w:hAnsi="宋体" w:eastAsia="方正仿宋简体" w:cs="方正仿宋简体"/>
          <w:sz w:val="32"/>
          <w:szCs w:val="32"/>
        </w:rPr>
        <w:drawing>
          <wp:anchor distT="0" distB="0" distL="114300" distR="114300" simplePos="0" relativeHeight="251659264" behindDoc="0" locked="0" layoutInCell="1" allowOverlap="1">
            <wp:simplePos x="0" y="0"/>
            <wp:positionH relativeFrom="column">
              <wp:posOffset>1972945</wp:posOffset>
            </wp:positionH>
            <wp:positionV relativeFrom="paragraph">
              <wp:posOffset>26035</wp:posOffset>
            </wp:positionV>
            <wp:extent cx="1656080" cy="1656080"/>
            <wp:effectExtent l="0" t="0" r="1270" b="1270"/>
            <wp:wrapNone/>
            <wp:docPr id="2" name="图片 2" descr="C:\Users\Lenovo\Desktop\未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未标题-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56080" cy="1656080"/>
                    </a:xfrm>
                    <a:prstGeom prst="rect">
                      <a:avLst/>
                    </a:prstGeom>
                    <a:noFill/>
                    <a:ln>
                      <a:noFill/>
                    </a:ln>
                  </pic:spPr>
                </pic:pic>
              </a:graphicData>
            </a:graphic>
          </wp:anchor>
        </w:drawing>
      </w:r>
    </w:p>
    <w:p w14:paraId="513C40D5"/>
    <w:p w14:paraId="3F4C6C72">
      <w:pPr>
        <w:spacing w:line="570" w:lineRule="exact"/>
        <w:ind w:firstLine="640" w:firstLineChars="200"/>
        <w:jc w:val="center"/>
        <w:rPr>
          <w:rFonts w:ascii="宋体" w:hAnsi="宋体" w:eastAsia="方正仿宋简体" w:cs="方正仿宋简体"/>
          <w:sz w:val="32"/>
          <w:szCs w:val="32"/>
        </w:rPr>
      </w:pPr>
      <w:r>
        <w:rPr>
          <w:rFonts w:hint="eastAsia" w:ascii="宋体" w:hAnsi="宋体" w:eastAsia="方正仿宋简体" w:cs="方正仿宋简体"/>
          <w:sz w:val="32"/>
          <w:szCs w:val="32"/>
        </w:rPr>
        <w:t>河北唐山芦台经济开发区财政局</w:t>
      </w:r>
    </w:p>
    <w:p w14:paraId="2959B86B">
      <w:pPr>
        <w:pStyle w:val="2"/>
        <w:spacing w:line="570" w:lineRule="exact"/>
        <w:ind w:firstLine="3200" w:firstLineChars="1000"/>
        <w:rPr>
          <w:rFonts w:ascii="宋体" w:hAnsi="宋体" w:eastAsia="方正仿宋简体" w:cs="方正仿宋简体"/>
          <w:sz w:val="32"/>
          <w:szCs w:val="32"/>
        </w:rPr>
      </w:pPr>
      <w:r>
        <w:rPr>
          <w:rFonts w:hint="eastAsia" w:ascii="宋体" w:hAnsi="宋体" w:eastAsia="方正仿宋简体" w:cs="方正仿宋简体"/>
          <w:sz w:val="32"/>
          <w:szCs w:val="32"/>
        </w:rPr>
        <w:t>2022年</w:t>
      </w:r>
      <w:r>
        <w:rPr>
          <w:rFonts w:hint="eastAsia" w:ascii="宋体" w:hAnsi="宋体" w:eastAsia="方正仿宋简体" w:cs="方正仿宋简体"/>
          <w:sz w:val="32"/>
          <w:szCs w:val="32"/>
          <w:lang w:val="en-US" w:eastAsia="zh-CN"/>
        </w:rPr>
        <w:t>7</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5</w:t>
      </w:r>
      <w:r>
        <w:rPr>
          <w:rFonts w:hint="eastAsia" w:ascii="宋体" w:hAnsi="宋体" w:eastAsia="方正仿宋简体" w:cs="方正仿宋简体"/>
          <w:sz w:val="32"/>
          <w:szCs w:val="32"/>
        </w:rPr>
        <w:t>日</w:t>
      </w:r>
    </w:p>
    <w:p w14:paraId="39B97E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B0B328-BD9C-49DA-91D5-E62A027ADD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035B60-F80B-425A-BEB6-EC45DDA3893D}"/>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C6DF5BDE-1A6B-49C6-BC9F-0F4A8D8DE830}"/>
  </w:font>
  <w:font w:name="方正仿宋简体">
    <w:panose1 w:val="02010601030101010101"/>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embedRegular r:id="rId4" w:fontKey="{667C5342-20D0-4C6C-B4AB-9A46081E00E3}"/>
  </w:font>
  <w:font w:name="楷体">
    <w:panose1 w:val="02010609060101010101"/>
    <w:charset w:val="86"/>
    <w:family w:val="modern"/>
    <w:pitch w:val="default"/>
    <w:sig w:usb0="800002BF" w:usb1="38CF7CFA" w:usb2="00000016" w:usb3="00000000" w:csb0="00040001" w:csb1="00000000"/>
    <w:embedRegular r:id="rId5" w:fontKey="{6224F696-85B6-4740-B35B-55525EEF7997}"/>
  </w:font>
  <w:font w:name="仿宋">
    <w:panose1 w:val="02010609060101010101"/>
    <w:charset w:val="86"/>
    <w:family w:val="modern"/>
    <w:pitch w:val="default"/>
    <w:sig w:usb0="800002BF" w:usb1="38CF7CFA" w:usb2="00000016" w:usb3="00000000" w:csb0="00040001" w:csb1="00000000"/>
    <w:embedRegular r:id="rId6" w:fontKey="{A350878E-C5C3-4C60-8340-689E8821753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973B2"/>
    <w:multiLevelType w:val="singleLevel"/>
    <w:tmpl w:val="2D1973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mMTNjODcyODUzZWVlMDRkMjJmYjAzZWYxZDQzMjYifQ=="/>
  </w:docVars>
  <w:rsids>
    <w:rsidRoot w:val="00CF7A67"/>
    <w:rsid w:val="001A65F7"/>
    <w:rsid w:val="00240F57"/>
    <w:rsid w:val="00266351"/>
    <w:rsid w:val="002B630A"/>
    <w:rsid w:val="00327B35"/>
    <w:rsid w:val="00336A14"/>
    <w:rsid w:val="0038708C"/>
    <w:rsid w:val="00475899"/>
    <w:rsid w:val="004C1E23"/>
    <w:rsid w:val="004D7186"/>
    <w:rsid w:val="00521F98"/>
    <w:rsid w:val="0058182F"/>
    <w:rsid w:val="005C4192"/>
    <w:rsid w:val="005C44B4"/>
    <w:rsid w:val="005C514B"/>
    <w:rsid w:val="00615E63"/>
    <w:rsid w:val="00702C8B"/>
    <w:rsid w:val="0075570A"/>
    <w:rsid w:val="008D533B"/>
    <w:rsid w:val="00957108"/>
    <w:rsid w:val="00A0534A"/>
    <w:rsid w:val="00AC5816"/>
    <w:rsid w:val="00AF6B6C"/>
    <w:rsid w:val="00B04953"/>
    <w:rsid w:val="00BF57C9"/>
    <w:rsid w:val="00CE57FF"/>
    <w:rsid w:val="00CF7A67"/>
    <w:rsid w:val="00D0268F"/>
    <w:rsid w:val="00D27AF2"/>
    <w:rsid w:val="00DB02DB"/>
    <w:rsid w:val="00E05031"/>
    <w:rsid w:val="00E402CD"/>
    <w:rsid w:val="00EC1888"/>
    <w:rsid w:val="00FD57C7"/>
    <w:rsid w:val="1B711C74"/>
    <w:rsid w:val="1D7C0F90"/>
    <w:rsid w:val="2EEC1BAF"/>
    <w:rsid w:val="645405FF"/>
    <w:rsid w:val="6AF3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Title"/>
    <w:basedOn w:val="1"/>
    <w:next w:val="1"/>
    <w:link w:val="1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qFormat/>
    <w:uiPriority w:val="99"/>
    <w:rPr>
      <w:sz w:val="18"/>
      <w:szCs w:val="18"/>
    </w:rPr>
  </w:style>
  <w:style w:type="character" w:customStyle="1" w:styleId="10">
    <w:name w:val="页脚 Char"/>
    <w:basedOn w:val="8"/>
    <w:link w:val="2"/>
    <w:semiHidden/>
    <w:qFormat/>
    <w:uiPriority w:val="99"/>
    <w:rPr>
      <w:sz w:val="18"/>
      <w:szCs w:val="18"/>
    </w:rPr>
  </w:style>
  <w:style w:type="character" w:customStyle="1" w:styleId="11">
    <w:name w:val="标题 Char"/>
    <w:basedOn w:val="8"/>
    <w:link w:val="5"/>
    <w:qFormat/>
    <w:uiPriority w:val="0"/>
    <w:rPr>
      <w:rFonts w:ascii="Cambria" w:hAnsi="Cambria" w:eastAsia="宋体" w:cs="Times New Roman"/>
      <w:b/>
      <w:bCs/>
      <w:sz w:val="32"/>
      <w:szCs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3223</Words>
  <Characters>3392</Characters>
  <Lines>25</Lines>
  <Paragraphs>7</Paragraphs>
  <TotalTime>0</TotalTime>
  <ScaleCrop>false</ScaleCrop>
  <LinksUpToDate>false</LinksUpToDate>
  <CharactersWithSpaces>3406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2021-10-20T05:49:00Z</dcterms:created>
  <dc:creator>Administrator</dc:creator>
  <cp:lastModifiedBy>大橙子</cp:lastModifiedBy>
  <dcterms:modified xsi:type="dcterms:W3CDTF">2025-05-23T02:49:32Z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A253B7FE8A374FEC9493238055267E30</vt:lpwstr>
  </property>
  <property fmtid="{D5CDD505-2E9C-101B-9397-08002B2CF9AE}" pid="4" name="KSOTemplateDocerSaveRecord">
    <vt:lpwstr>eyJoZGlkIjoiNjQwNTdjMGQ2MGIwOGZkYmQ5ODVjOTQzZTQ4N2MzYmUiLCJ1c2VySWQiOiI1NjI3NTEzMzkifQ==</vt:lpwstr>
  </property>
</Properties>
</file>